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الجندرة والنّسويّة مشاريع تغيير الهويّة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ظهرت في المجتمعات الغربية حركات نسوية تتبنّى أفكاراً شاذة تدعو إلى تحرير المرأة بالكلية، وذلك على خلفية ما تعرضت له المرأة عندهم من ظلم وحرمان من أبسط حقوقها في ظل نظام علماني أودى بها إلى مدارك البؤس والشقاء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عمل الغرب جاهداً عبر منظماته الدولية على تصدير هذا الفساد إلى بلاد المسلمين مستخدماً جمعيّات مشبوهة ترتبط بسفاراته تمويلاً ودعماً وترويجاً، بهدف تدمير الأسرة المسلمة وتغيير المفاهيم الإسلامية الخاصة بالمرأة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ولتحقيق ذلك، أقام اتفاقيات دولية من مثل اتفاقية سيداو عام </w:t>
      </w:r>
      <w:r>
        <w:rPr>
          <w:rFonts w:cs="Scheherazade" w:ascii="Noto Naskh Arabic" w:hAnsi="Noto Naskh Arabic"/>
          <w:color w:val="000000"/>
          <w:sz w:val="32"/>
          <w:szCs w:val="32"/>
        </w:rPr>
        <w:t>1979</w:t>
      </w:r>
      <w:r>
        <w:rPr>
          <w:rFonts w:ascii="Noto Naskh Arabic" w:hAnsi="Noto Naskh Arabic" w:cs="Scheherazade"/>
          <w:color w:val="000000"/>
          <w:sz w:val="32"/>
          <w:sz w:val="32"/>
          <w:szCs w:val="32"/>
          <w:rtl w:val="true"/>
        </w:rPr>
        <w:t xml:space="preserve">، واتفاقية مناهضة العنف ضدّ المرأة عام </w:t>
      </w:r>
      <w:r>
        <w:rPr>
          <w:rFonts w:cs="Scheherazade" w:ascii="Noto Naskh Arabic" w:hAnsi="Noto Naskh Arabic"/>
          <w:color w:val="000000"/>
          <w:sz w:val="32"/>
          <w:szCs w:val="32"/>
        </w:rPr>
        <w:t>2011</w:t>
      </w:r>
      <w:r>
        <w:rPr>
          <w:rFonts w:ascii="Noto Naskh Arabic" w:hAnsi="Noto Naskh Arabic" w:cs="Scheherazade"/>
          <w:color w:val="000000"/>
          <w:sz w:val="32"/>
          <w:sz w:val="32"/>
          <w:szCs w:val="32"/>
          <w:rtl w:val="true"/>
        </w:rPr>
        <w:t xml:space="preserve">، وعقد مؤتمرات دولية عديدة أبرزها مؤتمر المرأة في مكسيكو سيتي عام </w:t>
      </w:r>
      <w:r>
        <w:rPr>
          <w:rFonts w:cs="Scheherazade" w:ascii="Noto Naskh Arabic" w:hAnsi="Noto Naskh Arabic"/>
          <w:color w:val="000000"/>
          <w:sz w:val="32"/>
          <w:szCs w:val="32"/>
        </w:rPr>
        <w:t>1975</w:t>
      </w:r>
      <w:r>
        <w:rPr>
          <w:rFonts w:ascii="Noto Naskh Arabic" w:hAnsi="Noto Naskh Arabic" w:cs="Scheherazade"/>
          <w:color w:val="000000"/>
          <w:sz w:val="32"/>
          <w:sz w:val="32"/>
          <w:szCs w:val="32"/>
          <w:rtl w:val="true"/>
        </w:rPr>
        <w:t xml:space="preserve">، ومؤتمر كوبنهاجن عام </w:t>
      </w:r>
      <w:r>
        <w:rPr>
          <w:rFonts w:cs="Scheherazade" w:ascii="Noto Naskh Arabic" w:hAnsi="Noto Naskh Arabic"/>
          <w:color w:val="000000"/>
          <w:sz w:val="32"/>
          <w:szCs w:val="32"/>
        </w:rPr>
        <w:t>1980</w:t>
      </w:r>
      <w:r>
        <w:rPr>
          <w:rFonts w:ascii="Noto Naskh Arabic" w:hAnsi="Noto Naskh Arabic" w:cs="Scheherazade"/>
          <w:color w:val="000000"/>
          <w:sz w:val="32"/>
          <w:sz w:val="32"/>
          <w:szCs w:val="32"/>
          <w:rtl w:val="true"/>
        </w:rPr>
        <w:t xml:space="preserve">، ومؤتمر السكان والتنمية في القاهرة عام </w:t>
      </w:r>
      <w:r>
        <w:rPr>
          <w:rFonts w:cs="Scheherazade" w:ascii="Noto Naskh Arabic" w:hAnsi="Noto Naskh Arabic"/>
          <w:color w:val="000000"/>
          <w:sz w:val="32"/>
          <w:szCs w:val="32"/>
        </w:rPr>
        <w:t>1994</w:t>
      </w:r>
      <w:r>
        <w:rPr>
          <w:rFonts w:ascii="Noto Naskh Arabic" w:hAnsi="Noto Naskh Arabic" w:cs="Scheherazade"/>
          <w:color w:val="000000"/>
          <w:sz w:val="32"/>
          <w:sz w:val="32"/>
          <w:szCs w:val="32"/>
          <w:rtl w:val="true"/>
        </w:rPr>
        <w:t xml:space="preserve">، ومؤتمر بكين عام </w:t>
      </w:r>
      <w:r>
        <w:rPr>
          <w:rFonts w:cs="Scheherazade" w:ascii="Noto Naskh Arabic" w:hAnsi="Noto Naskh Arabic"/>
          <w:color w:val="000000"/>
          <w:sz w:val="32"/>
          <w:szCs w:val="32"/>
        </w:rPr>
        <w:t>1995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ومن يتابع نشاط هذه المنظمات يلاحظ بوضوح ارتباطها الوثيق بالغرب، وعلى رأسه الولايات المتحدة، فهي تحظى بتمويل سخي من صندوق النقد والبنك الدوليين ومنظمات دولية أخرى، خدمة لمصالح الدول الكبرى وسياساتها الرامية إلى علمنة الشعوب المسلمة وتغريبها وصرفها عن دينها وأحكامه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الجمعيات ترفع شعارات برّاقة من مثل المرأة والتعليم، والمرأة والإعلام، وتمكين المرأة اقتصادياً وغيرها، بينما في حقيقتها تغرس أفكاراً خطيرة في المجتمع وخاصة عند النساء، منها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المساواة المطلقة بين الجنسين، وتحرير المرأة من ضوابط الدين والأسرة، والاستقلالية الجسدية والشخصية، وتغيير النوع الجنسي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الجندر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وغاية هذه الشعارات المضللة خداع المرأة، للوصول إلى الأسرة المسلمة وضربها من الداخل حتى تضيع الأجيال وتُمحى الأحكام الشرعية المتعلقة بالمرأة والأسرة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المرأة المسلمة ليست بحاجة إلى هذه الجمعيات ولا إلى من ينصفها زعماً؛ فالإسلام قد كفل لها حقوقها كاملة، ونظر إليها على أنها أمّ وأخت وزوجة وبنت، وجعلها عِرضاً يجب أن يُصان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كلّف الرجل بحمايتها والإنفاق عليها والإحسان إليها، وأقام قوامة الزوج على زوجته على أساس الرعاية لا الاستبداد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أعطاها الحق في التعليم، والإرث، واختيار الزوج، وممارسة التجارة والزراعة والصناعة، وتولّي العقود والمعاملات، وامتلاك جميع أنواع الملك، وتنمية أموالها، والتصرّف في شؤونها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وأجاز لها أن تُعيَّن في وظائف الدولة، وأن تشارك في الحياة السياسية بانتخاب أعضاء مجلس الأمة بل ومبايعة الخليفة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فالمرأة عندنا، هي الأم التي نبرّها لتكون طريقنا إلى الجنة، قال ﷺ في حقها</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فالزَمها فإنَّ الجنَّةَ تحتَ رِجلَيها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الزوجة التي نُحسن معاملتها طاعة لله ولرسوله، قال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خيرُكُم خيرُكم لِأهْلِهِ، وَأَنَا خيرُكم لِأَهْلِي</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البنت التي نُحسن إليها لتكون لنا ستراً من النار يوم القيامة، قال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مَنِ ابْتُلِيَ مِنَ البَنَاتِ بشيءٍ، فأحْسَنَ إلَيْهِنَّ كُنَّ له سِتْراً مِنَ النَّارِ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المرأة التي كرّمها الإسلام بالعموم، قال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نعم إنما النِّساءُ شقائقُ الرِّجالِ</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النسوية في حقيقتها فهي فلسفة غربية نشأت من رحم صراعات تاريخية، تنظر للعلاقة بين الرجل والمرأة من زاوية الندية والصراع لا التكامل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ثم تدعو إلى إلغاء الفوارق الطبيعية بينهما، واعتبار ما يُسمّى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الأسرة التقليدية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قيداً على حرية المرأة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ترفع شعار المساواة المطلقة بمعنى التطابق، وتدعو إلى الحرية الجنسية، وإلى تقليص دور الأمومة، بل وفي بعض الأحيان إلغائه، وتسعى إلى تهميش دور الرجل وإقصائه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والنتيجة التي حصدتها المجتمعات الغربية من هذا الخطاب هي انهيار الأسرة، وتحمّل المرأة أعباء مضاعفة من عمل وتربية بمفردها، فضلاً عن تعرضها للاستغلال في سوق العمل والعلاقات العابرة، وفقدانها للدعم الطبيعي من الزوج والأسرة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وعندما يدعو الخطاب النسوي إلى التطبيع مع النوع الجنسي فإنه يهدف إلى ضرب الفطرة السليمة، وتكريس الشذوذ الجنسي عبر الترويج لزواج الشواذ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المثليين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والتحوّل الجنسي، وهو ما ساهم فعلاً في تفشي الفوضى الأخلاقية والاجتماعية، وانتشار العلاقات غير المستقرة، وانهيار مفهوم العفّة والالتزام، ما قاد إلى أزمات هوية واضطراب في البناء المجتمعي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مشاريع النسوية والجندرة تقوّض الهوية الفطرية للإنسان، فهي تزعم أن الجنس الطبيعي بناء اجتماعي يمكن تغييره، بينما الإسلام يقرّر أن الله تعالى خلق البشر ذكراً وأنثى ﴿</w:t>
      </w:r>
      <w:r>
        <w:rPr>
          <w:rStyle w:val="Strong"/>
          <w:rFonts w:ascii="Noto Naskh Arabic" w:hAnsi="Noto Naskh Arabic" w:cs="Scheherazade"/>
          <w:color w:val="000000"/>
          <w:sz w:val="32"/>
          <w:sz w:val="32"/>
          <w:szCs w:val="32"/>
          <w:rtl w:val="true"/>
        </w:rPr>
        <w:t>وَأَنَّهُ خَلَقَ الزَّوْجَيْنِ الذَّكَرَ وَالْأُنثَىٰ</w:t>
      </w:r>
      <w:r>
        <w:rPr>
          <w:rFonts w:ascii="Noto Naskh Arabic" w:hAnsi="Noto Naskh Arabic" w:cs="Scheherazade"/>
          <w:color w:val="000000"/>
          <w:sz w:val="32"/>
          <w:sz w:val="32"/>
          <w:szCs w:val="32"/>
          <w:rtl w:val="true"/>
        </w:rPr>
        <w:t>﴾، وهو أمر فطري ثابت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هذه الطروحات تصطدم بالأحكام الشرعية المبنية على التمايز الطبيعي بين الرجل والمرأة، مثل أحكام الميراث والطلاق والنفقة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المشاريع لا تقف عند حدود الدّعوة للمساواة الشّكليّة، بل تستهدف تفكيك الأسرة المسلمة وتذويب الهوية الإسلامية، وصولاً إلى جيل يرى الدين مجرد خيار ثقافي هامشي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وجب الحذر منها، وتحصين المجتمع بالوعي الشرعي والفكري، وتعزيز مكانة المرأة كما أرادها الإسلام، كريمةً مصونةً، شريكةً في بناء الأسرة والمجتمع، وأساساً لنهضة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rPr>
      </w:pPr>
      <w:r>
        <w:rPr>
          <w:rFonts w:cs="Scheherazade"/>
          <w:color w:val="000000"/>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الشمالي</w:t>
      </w:r>
    </w:p>
    <w:p>
      <w:pPr>
        <w:pStyle w:val="Normal"/>
        <w:bidi w:val="1"/>
        <w:spacing w:lineRule="auto" w:line="276" w:before="0" w:after="113"/>
        <w:ind w:firstLine="567" w:start="0" w:end="0"/>
        <w:jc w:val="both"/>
        <w:rPr>
          <w:rFonts w:ascii="Noto Naskh Arabic" w:hAnsi="Noto Naskh Arabic" w:cs="Scheherazade"/>
          <w:sz w:val="32"/>
          <w:szCs w:val="32"/>
        </w:rPr>
      </w:pPr>
      <w:r>
        <w:rPr>
          <w:rFonts w:cs="Scheherazade" w:ascii="Noto Naskh Arabic" w:hAnsi="Noto Naskh Arabic"/>
          <w:sz w:val="32"/>
          <w:szCs w:val="32"/>
          <w:rtl w:val="true"/>
        </w:rPr>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TotalTime>
  <Application>LibreOffice/7.6.7.2$Linux_X86_64 LibreOffice_project/60$Build-2</Application>
  <AppVersion>15.0000</AppVersion>
  <Pages>2</Pages>
  <Words>658</Words>
  <Characters>3407</Characters>
  <CharactersWithSpaces>4052</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2025-10-22T09:50:11Z</dcterms:created>
  <dc:creator/>
  <dc:description/>
  <dc:language>ru-RU</dc:language>
  <cp:lastModifiedBy/>
  <dcterms:modified xsi:type="dcterms:W3CDTF">2025-10-22T21:18:35Z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