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b/>
          <w:bCs/>
          <w:sz w:val="24"/>
          <w:szCs w:val="24"/>
        </w:rPr>
        <w:t>Статья 86. М</w:t>
      </w:r>
      <w:r>
        <w:rPr>
          <w:rFonts w:cs="Liberation Serif"/>
          <w:b/>
          <w:bCs/>
          <w:sz w:val="24"/>
          <w:szCs w:val="24"/>
        </w:rPr>
        <w:t>ухтасиб имеет право назначать своих заместителей, если они соответствуют всем условиям судьи мухтасиба. Они распределяются по разным районам, и таким заместителям предоставля</w:t>
      </w:r>
      <w:r>
        <w:rPr>
          <w:rFonts w:cs="Liberation Serif"/>
          <w:b/>
          <w:bCs/>
          <w:sz w:val="24"/>
          <w:szCs w:val="24"/>
        </w:rPr>
        <w:t>ю</w:t>
      </w:r>
      <w:r>
        <w:rPr>
          <w:rFonts w:cs="Liberation Serif"/>
          <w:b/>
          <w:bCs/>
          <w:sz w:val="24"/>
          <w:szCs w:val="24"/>
        </w:rPr>
        <w:t>тся полномочия исполнять обязанности мухтасиба в той местности или округе, куда они назначены, и только в тех вопросах, в которых они уполномочены.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Fonts w:cs="Liberation Serif"/>
          <w:sz w:val="24"/>
          <w:szCs w:val="24"/>
        </w:rPr>
        <w:t xml:space="preserve">Эта статья имеет силу только при условии, если в постановлении о назначении мухтасиба ему было предоставлено право назначать заместителей, то есть право передавать часть своих полномочий в случае, если он был назначен </w:t>
      </w:r>
      <w:r>
        <w:rPr>
          <w:rFonts w:cs="Liberation Serif"/>
          <w:sz w:val="24"/>
          <w:szCs w:val="24"/>
        </w:rPr>
        <w:t>х</w:t>
      </w:r>
      <w:r>
        <w:rPr>
          <w:rFonts w:cs="Liberation Serif"/>
          <w:sz w:val="24"/>
          <w:szCs w:val="24"/>
        </w:rPr>
        <w:t xml:space="preserve">алифом. Если же мухтасиб был назначен Верховным </w:t>
      </w:r>
      <w:r>
        <w:rPr>
          <w:rFonts w:cs="Liberation Serif"/>
          <w:sz w:val="24"/>
          <w:szCs w:val="24"/>
        </w:rPr>
        <w:t>с</w:t>
      </w:r>
      <w:r>
        <w:rPr>
          <w:rFonts w:cs="Liberation Serif"/>
          <w:sz w:val="24"/>
          <w:szCs w:val="24"/>
        </w:rPr>
        <w:t xml:space="preserve">удьёй (Кади аль-Кудат), то тогда необходимо, чтобы в постановлении о назначении мухтасиба прямо было указано, что ему разрешено назначать заместителей, и чтобы в постановлении о назначении Верховного </w:t>
      </w:r>
      <w:r>
        <w:rPr>
          <w:rFonts w:cs="Liberation Serif"/>
          <w:sz w:val="24"/>
          <w:szCs w:val="24"/>
        </w:rPr>
        <w:t>с</w:t>
      </w:r>
      <w:r>
        <w:rPr>
          <w:rFonts w:cs="Liberation Serif"/>
          <w:sz w:val="24"/>
          <w:szCs w:val="24"/>
        </w:rPr>
        <w:t>удьи (Кади аль-Кудат) также содержалось право давать судьям, которых он назначает, возможность назначать своих заместителей.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Если же в постановлении о назначении Верховного </w:t>
      </w:r>
      <w:r>
        <w:rPr>
          <w:rFonts w:cs="Liberation Serif"/>
          <w:sz w:val="24"/>
          <w:szCs w:val="24"/>
        </w:rPr>
        <w:t>с</w:t>
      </w:r>
      <w:r>
        <w:rPr>
          <w:rFonts w:cs="Liberation Serif"/>
          <w:sz w:val="24"/>
          <w:szCs w:val="24"/>
        </w:rPr>
        <w:t>удьи (Кади аль-Кудат) это право отсутствует, то, соответственно, и он не может предоставить судьям право назначать своих заместителей. В таком случае мухтасиб также не будет иметь полномочий назначать своих заместителей.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Fonts w:cs="Liberation Serif"/>
          <w:sz w:val="24"/>
          <w:szCs w:val="24"/>
        </w:rPr>
        <w:t xml:space="preserve">Право назначения  заместителей, будь то мухтасибом или судьёй, разбирающим споры, или судьёй по делам несправедливости, имеется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только в том случае</w:t>
      </w:r>
      <w:r>
        <w:rPr>
          <w:rFonts w:cs="Liberation Serif"/>
          <w:b w:val="false"/>
          <w:bCs w:val="false"/>
          <w:sz w:val="24"/>
          <w:szCs w:val="24"/>
        </w:rPr>
        <w:t xml:space="preserve">, если сам </w:t>
      </w:r>
      <w:r>
        <w:rPr>
          <w:rFonts w:cs="Liberation Serif"/>
          <w:b w:val="false"/>
          <w:bCs w:val="false"/>
          <w:sz w:val="24"/>
          <w:szCs w:val="24"/>
        </w:rPr>
        <w:t>х</w:t>
      </w:r>
      <w:r>
        <w:rPr>
          <w:rFonts w:cs="Liberation Serif"/>
          <w:sz w:val="24"/>
          <w:szCs w:val="24"/>
        </w:rPr>
        <w:t xml:space="preserve">алиф предоставил им это право или если </w:t>
      </w:r>
      <w:r>
        <w:rPr>
          <w:rFonts w:cs="Liberation Serif"/>
          <w:sz w:val="24"/>
          <w:szCs w:val="24"/>
        </w:rPr>
        <w:t>х</w:t>
      </w:r>
      <w:r>
        <w:rPr>
          <w:rFonts w:cs="Liberation Serif"/>
          <w:sz w:val="24"/>
          <w:szCs w:val="24"/>
        </w:rPr>
        <w:t xml:space="preserve">алиф дал полномочия Верховному </w:t>
      </w:r>
      <w:r>
        <w:rPr>
          <w:rFonts w:cs="Liberation Serif"/>
          <w:sz w:val="24"/>
          <w:szCs w:val="24"/>
        </w:rPr>
        <w:t>с</w:t>
      </w:r>
      <w:r>
        <w:rPr>
          <w:rFonts w:cs="Liberation Serif"/>
          <w:sz w:val="24"/>
          <w:szCs w:val="24"/>
        </w:rPr>
        <w:t>удье (Кади аль-Кудат) назначать судей и предоставлять им право назначать своих заместителей.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Это объясняется тем, что судья получает свои полномочия в рамках конкретных функций, а именно: </w:t>
      </w:r>
      <w:r>
        <w:rPr>
          <w:rFonts w:cs="Liberation Serif"/>
          <w:sz w:val="24"/>
          <w:szCs w:val="24"/>
        </w:rPr>
        <w:t>б</w:t>
      </w:r>
      <w:r>
        <w:rPr>
          <w:rFonts w:cs="Liberation Serif"/>
          <w:sz w:val="24"/>
          <w:szCs w:val="24"/>
        </w:rPr>
        <w:t xml:space="preserve">ыть мухтасибом. Поэтому если ему не было предоставлено право назначать заместителей, то тогда это вне его компетенции. Так же обстоит дело и с судьями, разбирающими споры и судьями по делам несправедливости. </w:t>
      </w:r>
      <w:r>
        <w:rPr>
          <w:rFonts w:cs="Liberation Serif"/>
          <w:sz w:val="24"/>
          <w:szCs w:val="24"/>
        </w:rPr>
        <w:t>В</w:t>
      </w:r>
      <w:r>
        <w:rPr>
          <w:rFonts w:cs="Liberation Serif"/>
          <w:sz w:val="24"/>
          <w:szCs w:val="24"/>
        </w:rPr>
        <w:t>се они обладают только теми полномочиями, которые прямо указаны в постановлении о</w:t>
      </w:r>
      <w:r>
        <w:rPr>
          <w:rFonts w:cs="Liberation Serif"/>
          <w:sz w:val="24"/>
          <w:szCs w:val="24"/>
        </w:rPr>
        <w:t>б</w:t>
      </w:r>
      <w:r>
        <w:rPr>
          <w:rFonts w:cs="Liberation Serif"/>
          <w:sz w:val="24"/>
          <w:szCs w:val="24"/>
        </w:rPr>
        <w:t xml:space="preserve"> их назначении. Поэтому судья не вправе назначать заместителей для выполнения функций мухтасиба, если это не было прямо указано при его назначении. То же касается и Верховного </w:t>
      </w:r>
      <w:r>
        <w:rPr>
          <w:rFonts w:cs="Liberation Serif"/>
          <w:sz w:val="24"/>
          <w:szCs w:val="24"/>
        </w:rPr>
        <w:t>с</w:t>
      </w:r>
      <w:r>
        <w:rPr>
          <w:rFonts w:cs="Liberation Serif"/>
          <w:sz w:val="24"/>
          <w:szCs w:val="24"/>
        </w:rPr>
        <w:t>удьи.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Что касается допустимости того, чтобы судья, разбирающий споры между людьми, назначал своего заместителя, то это подтверждается тем, что когда к Посланнику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 xml:space="preserve">обратились за судом, он назначил вместо себя того, кто будет рассматривать их вопрос. Аналогичная история была с бедуином, который пришёл к Посланнику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 xml:space="preserve">и сообщил ему, что его сын был слугой у одного человека и совершил прелюбодеяние с его женой, прося вынести решение, Посланник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сказал:</w:t>
      </w:r>
    </w:p>
    <w:p>
      <w:pPr>
        <w:pStyle w:val="BodyText"/>
        <w:bidi w:val="1"/>
        <w:spacing w:lineRule="auto" w:line="360" w:before="0" w:after="113"/>
        <w:ind w:firstLine="567" w:start="0"/>
        <w:jc w:val="center"/>
        <w:rPr>
          <w:rFonts w:ascii="Liberation Serif" w:hAnsi="Liberation Serif" w:cs="Noto Naskh Arabic"/>
          <w:sz w:val="32"/>
          <w:szCs w:val="32"/>
        </w:rPr>
      </w:pPr>
      <w:r>
        <w:rPr>
          <w:rFonts w:ascii="Liberation Serif" w:hAnsi="Liberation Serif" w:cs="Noto Naskh Arabic"/>
          <w:sz w:val="32"/>
          <w:sz w:val="32"/>
          <w:szCs w:val="32"/>
          <w:rtl w:val="true"/>
        </w:rPr>
        <w:t xml:space="preserve">وَاغْدُ يَا أُنَـيْسُ </w:t>
      </w:r>
      <w:r>
        <w:rPr>
          <w:rFonts w:cs="Noto Naskh Arabic"/>
          <w:sz w:val="32"/>
          <w:szCs w:val="32"/>
          <w:rtl w:val="true"/>
        </w:rPr>
        <w:t xml:space="preserve">- </w:t>
      </w:r>
      <w:r>
        <w:rPr>
          <w:rFonts w:ascii="Liberation Serif" w:hAnsi="Liberation Serif" w:cs="Noto Naskh Arabic"/>
          <w:sz w:val="32"/>
          <w:sz w:val="32"/>
          <w:szCs w:val="32"/>
          <w:rtl w:val="true"/>
        </w:rPr>
        <w:t xml:space="preserve">رجل من أسلم </w:t>
      </w:r>
      <w:r>
        <w:rPr>
          <w:rFonts w:cs="Noto Naskh Arabic"/>
          <w:sz w:val="32"/>
          <w:szCs w:val="32"/>
          <w:rtl w:val="true"/>
        </w:rPr>
        <w:t xml:space="preserve">- </w:t>
      </w:r>
      <w:r>
        <w:rPr>
          <w:rFonts w:ascii="Liberation Serif" w:hAnsi="Liberation Serif" w:cs="Noto Naskh Arabic"/>
          <w:sz w:val="32"/>
          <w:sz w:val="32"/>
          <w:szCs w:val="32"/>
          <w:rtl w:val="true"/>
        </w:rPr>
        <w:t>إِلَى امْرَأَةِ هَذَا، فَإِنِ اعْـتَرَفَتْ فَارْجُمْهَا</w:t>
      </w:r>
    </w:p>
    <w:p>
      <w:pPr>
        <w:pStyle w:val="BodyText"/>
        <w:bidi w:val="0"/>
        <w:spacing w:lineRule="auto" w:line="360" w:before="0" w:after="113"/>
        <w:ind w:firstLine="567" w:start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«О, Унейс, —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 xml:space="preserve"> человек из племени Аслям</w:t>
      </w:r>
      <w:r>
        <w:rPr>
          <w:rFonts w:cs="Liberation Serif"/>
          <w:b/>
          <w:bCs/>
          <w:i/>
          <w:iCs/>
          <w:sz w:val="24"/>
          <w:szCs w:val="24"/>
        </w:rPr>
        <w:t xml:space="preserve"> — «ступай к этой женщине, и если она признается, то побейте её камнями!».</w:t>
      </w:r>
      <w:r>
        <w:rPr>
          <w:rFonts w:cs="Liberation Serif"/>
          <w:sz w:val="24"/>
          <w:szCs w:val="24"/>
        </w:rPr>
        <w:t xml:space="preserve"> (Хадис приводят аль-Бухари и Муслим от Абу Хурайры и Зайда ибн Халида).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Эти хадисы указывают на то, что судья, разбирающий споры, вправе назначать себе заместителя, чтобы тот вынес решение по конкретному делу. То же самое относится и к мухтасибу, поскольку он также является судьёй.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Однако существует условие, а именно то, что судья должен предоставлять своему заместителю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полные полномочия судейства</w:t>
      </w:r>
      <w:r>
        <w:rPr>
          <w:rFonts w:cs="Liberation Serif"/>
          <w:b w:val="false"/>
          <w:bCs w:val="false"/>
          <w:sz w:val="24"/>
          <w:szCs w:val="24"/>
        </w:rPr>
        <w:t>, то есть у него должно быть и право рассматривать дело и выносить решение. Только при этом такое назначение будет счита</w:t>
      </w:r>
      <w:r>
        <w:rPr>
          <w:rFonts w:cs="Liberation Serif"/>
          <w:b w:val="false"/>
          <w:bCs w:val="false"/>
          <w:sz w:val="24"/>
          <w:szCs w:val="24"/>
        </w:rPr>
        <w:t>ть</w:t>
      </w:r>
      <w:r>
        <w:rPr>
          <w:rFonts w:cs="Liberation Serif"/>
          <w:b w:val="false"/>
          <w:bCs w:val="false"/>
          <w:sz w:val="24"/>
          <w:szCs w:val="24"/>
        </w:rPr>
        <w:t>ся действительным. Ведь судейство — это доведение обязательного к исполнению шариатского решения, и в этом смысле оно неделимо. Нельзя поручить судье только изучение дела, оставив вынесение решения за собой. Заместитель должен быть назначен именно как судья, чтобы его решение было действительным.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Fonts w:cs="Liberation Serif"/>
          <w:sz w:val="24"/>
          <w:szCs w:val="24"/>
        </w:rPr>
        <w:t xml:space="preserve">И даже если заместитель фактически не вынес решение, его деятельность остаётся действительной, потому что вынесение решения самим заместителем не является обязательным условием. Сам судья может начать дело и не успеть довести его до конца, </w:t>
      </w:r>
      <w:r>
        <w:rPr>
          <w:rFonts w:cs="Liberation Serif"/>
          <w:sz w:val="24"/>
          <w:szCs w:val="24"/>
        </w:rPr>
        <w:t>так как</w:t>
      </w:r>
      <w:r>
        <w:rPr>
          <w:rFonts w:cs="Liberation Serif"/>
          <w:sz w:val="24"/>
          <w:szCs w:val="24"/>
        </w:rPr>
        <w:t xml:space="preserve"> до вынесения решения его могут сместить, и тогда другой судья продолжит разбирательство и </w:t>
      </w:r>
      <w:r>
        <w:rPr>
          <w:rFonts w:cs="Liberation Serif"/>
          <w:b w:val="false"/>
          <w:bCs w:val="false"/>
          <w:sz w:val="24"/>
          <w:szCs w:val="24"/>
        </w:rPr>
        <w:t xml:space="preserve">вынесет решение. То же самое относится и к заместителю судьи, он не обязан сам завершить дело, однако при его назначении обязательно ему должны быть предоставлены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полные полномочия судьи</w:t>
      </w:r>
      <w:r>
        <w:rPr>
          <w:rFonts w:cs="Liberation Serif"/>
          <w:b w:val="false"/>
          <w:bCs w:val="false"/>
          <w:sz w:val="24"/>
          <w:szCs w:val="24"/>
        </w:rPr>
        <w:t>, вбирающие в себя как рассмотрение дела, так и вынесение решения в</w:t>
      </w:r>
      <w:r>
        <w:rPr>
          <w:rFonts w:cs="Liberation Serif"/>
          <w:sz w:val="24"/>
          <w:szCs w:val="24"/>
        </w:rPr>
        <w:t xml:space="preserve"> рамках своего назначения.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Fonts w:cs="Liberation Serif"/>
          <w:sz w:val="24"/>
          <w:szCs w:val="24"/>
        </w:rPr>
        <w:t>Подобно этому и мухтасиб назначает своих заместителей с полномочиями рассматривать и решать те дела или разбирать те ситуации, на которые был назначен, при условии, что у самого мухтасиба были права назначать себе заместителей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 тому, кто назначается заместителем мухтасиба, предъявляются все те же условия, что и к самому мухтасибу: он должен быть мусульманином, свободным (не рабом), справедливым, совершеннолетним (половозрелым) и обладающим знаниями исламского права (факихом) в тех вопросах, которые ему предстоит рассматривать, потому что его задачей является судейство, так же, как у мухтасиба.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Символ нумерации"/>
    <w:qFormat/>
    <w:rPr/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160</TotalTime>
  <Application>LibreOffice/24.2.7.2$Linux_X86_64 LibreOffice_project/420$Build-2</Application>
  <AppVersion>15.0000</AppVersion>
  <Pages>2</Pages>
  <Words>685</Words>
  <Characters>4077</Characters>
  <CharactersWithSpaces>4753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2025-12-09T16:40:31Z</dcterms:created>
  <dc:creator/>
  <dc:description/>
  <dc:language>ru-RU</dc:language>
  <cp:lastModifiedBy/>
  <dcterms:modified xsi:type="dcterms:W3CDTF">2025-12-10T21:51:32Z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