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 w:start="0"/>
        <w:jc w:val="center"/>
        <w:rPr/>
      </w:pPr>
      <w:r>
        <w:rPr>
          <w:rStyle w:val="Strong"/>
          <w:b w:val="false"/>
          <w:bCs w:val="false"/>
          <w:i/>
          <w:iCs/>
        </w:rPr>
        <w:t>Газета «Ар-Рая»</w:t>
      </w:r>
    </w:p>
    <w:p>
      <w:pPr>
        <w:pStyle w:val="BodyText"/>
        <w:bidi w:val="0"/>
        <w:spacing w:lineRule="auto" w:line="360" w:before="0" w:after="113"/>
        <w:ind w:hanging="0" w:start="0"/>
        <w:jc w:val="center"/>
        <w:rPr/>
      </w:pPr>
      <w:r>
        <w:rPr>
          <w:rStyle w:val="Strong"/>
        </w:rPr>
        <w:t>Меняет ли Китай правила игры?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</w:rPr>
      </w:pPr>
      <w:r>
        <w:rPr/>
        <w:t>В мире, где войны в большей степени не объявляются с трибун СМИ и не решаются лишь звуком самолётов, формируется иной тип противостояния — тихий, выходящий за пределы границ и простирающийся далеко за рамки географических обозначений, где противостояние заново выстраивает баланс сил и испытываются пределы влияния крупных держав.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</w:rPr>
      </w:pPr>
      <w:r>
        <w:rPr/>
        <w:t>В этой меняющейся картине Иран уже не выглядит просто государством, сталкивающимся с санкциями или военными угрозами. Он предстаёт игроком, пытающимся заново определить своё положение нетрадиционным путём, используя пересечение интересов с Китаем и превращение технологий в доступный товар на открытом мировом рынке.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</w:rPr>
      </w:pPr>
      <w:r>
        <w:rPr/>
        <w:t>Америка смотрит на это сближение с глубоким подозрением, поскольку вопрос уже выходит далеко за рамки отдельного соглашения или сделки и затрагивает более глубокие трансформации. Сегодня вопрос стоит так: являемся ли мы свидетелями начала нового международного порядка, в котором монополия на применение силы будет разрушена, или же речь идёт лишь о её перераспределении с помощью более сложных и скрытых инструментов?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</w:rPr>
      </w:pPr>
      <w:r>
        <w:rPr/>
        <w:t>С 2016 года когда впервые была выдвинута идея стратегического партнёрства между Тегераном и Пекином, не было ясно, насколько далеко смогут зайти эти отношения. Однако подписание долгосрочного соглашения о сотрудничестве в 2021 году заложило основу союза, выходящего далеко за пределы экономики, переходя в сферу геополитики.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</w:rPr>
      </w:pPr>
      <w:r>
        <w:rPr/>
        <w:t>Китай в рамках проекта «Один пояс — один путь» строит не только торговый маршрут, но и стратегические опорные точки. Иран же — благодаря своему географическому положению и природным богатствам — представляет собой один из краеугольных камней этого проекта.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</w:rPr>
      </w:pPr>
      <w:r>
        <w:rPr/>
        <w:t>Для тех, кто не слышал об этом соглашении: идея его заключения была выдвинута ещё в 2016 году во время визита председателя КНР Си Цзиньпина в Тегеран и его встречи с верховным лидером Ирана Али Хаменеи. Тогда и была предложена концепция долгосрочного стратегического партнёрства между двумя странами. В 2019 году Иран первоначально заявлял, что речь идёт лишь об идее, а не об окончательном соглашении. Однако впоследствии процесс получил развитие и завершился официальным подписанием 27.04.2021 документа под названием «Соглашение о стратегическом сотрудничестве» сроком на 25 лет («Аль-Джазира», 27.04.2021). Это соглашение представляло собой общую рамочную программу, а не подробный договор со всеми детализированными пунктами. В 2023 году его не переподписывали, однако в ходе взаимных визитов, сотрудничество продолжилось и было укреплено подписанием ряда дополнительных соглашений («Аль-Арабия», 14.02.2023). Соглашение не было полностью секретным: о нём было официально объявлено, известен его срок — 25 лет, а также то, что оно включает экономическое, политическое и  возможно  военное сотрудничество. Однако оно и не было полностью прозрачным, поскольку многие его детали официально так и не были опубликованы. Поэтому его нередко описывают как туманное или полу-секретное.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</w:rPr>
      </w:pPr>
      <w:r>
        <w:rPr/>
        <w:t>Из того, что стало известно о его содержании, следующее: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</w:rPr>
        <w:t xml:space="preserve">Нефть в обмен на инвестиции (суть сделки). </w:t>
      </w:r>
      <w:r>
        <w:rPr/>
        <w:t>Китай получает иранскую нефть по сниженным и фиксированным ценам на длительный срок — до 25 лет — в обмен на инвестиции в энергетику, инфраструктуру, порты, железные дороги, а также строительство иранских нефтехранилищ в Китае и другие проекты.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</w:rPr>
        <w:t xml:space="preserve">Увязывание Ирана с китайской инициативой «Один пояс — один путь». </w:t>
      </w:r>
      <w:r>
        <w:rPr/>
        <w:t>Развитие портов и железнодорожных путей, соединяющих Азию с Европой через Иран, то есть превращение Ирана из изолированного государства в глобальный торговый коридор.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</w:rPr>
        <w:t xml:space="preserve">Военное и разведывательное сотрудничество. </w:t>
      </w:r>
      <w:r>
        <w:rPr/>
        <w:t>Совместные военные учения, обмен разведывательной информацией и развитие технологий наблюдения и контроля.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</w:rPr>
        <w:t xml:space="preserve">Технологии и связь. </w:t>
      </w:r>
      <w:r>
        <w:rPr/>
        <w:t>Допуск китайских компаний, таких как Huawei, развитие сетей 5G и систем цифрового наблюдения. В рамках этого сотрудничества Иран в 2024 году получил доступ к китайскому коммерческому спутнику двойного назначения, созданному частной китайской компанией. Иран приобрёл право доступа к нему и его дальнейшего использования. Спутник известен под назван</w:t>
      </w:r>
      <w:r>
        <w:rPr>
          <w:b w:val="false"/>
          <w:bCs w:val="false"/>
        </w:rPr>
        <w:t xml:space="preserve">ием </w:t>
      </w:r>
      <w:r>
        <w:rPr>
          <w:rStyle w:val="Strong"/>
          <w:b w:val="false"/>
          <w:bCs w:val="false"/>
        </w:rPr>
        <w:t>TEE_01B</w:t>
      </w:r>
      <w:r>
        <w:rPr>
          <w:b w:val="false"/>
          <w:bCs w:val="false"/>
        </w:rPr>
        <w:t xml:space="preserve">. </w:t>
      </w:r>
      <w:r>
        <w:rPr/>
        <w:t>Формально он не принадлежит Ирану, а является собственностью частной китайской компании, а Иран использует её услуги и доступ к данным спутника. Управление спутником по крайней мере частью его функционала осуществляется через наземные станции находящиеся за пределами Ирана — исключительно в Китае. Подробности работы этого спутника до сих пор полностью не раскрыты, однако, согласно западным утверждениям, он использовался во время войны для наблюдения за военными базами и поддержки военных операций («Reuters», 15.04.2026).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</w:rPr>
      </w:pPr>
      <w:r>
        <w:rPr/>
        <w:t>Иран рассматривал это соглашение как средство достижения нескольких целей, позволяющих ему балансировать между отношениями с Америкой и Китаем, особенно после изменения американской политики в отношении Тегерана, убийств иранских лидеров, выхода США из ядерного соглашения и других событий.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</w:rPr>
      </w:pPr>
      <w:r>
        <w:rPr/>
        <w:t>Среди главных целей, которые Иран стремится достичь через это соглашение, следующее: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</w:rPr>
      </w:pPr>
      <w:r>
        <w:rPr/>
        <w:t xml:space="preserve">— </w:t>
      </w:r>
      <w:r>
        <w:rPr/>
        <w:t>преодоление американских санкций, поскольку Китай предоставляет финансирование, торговое и политическое прикрытие;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</w:rPr>
      </w:pPr>
      <w:r>
        <w:rPr/>
        <w:t xml:space="preserve">— </w:t>
      </w:r>
      <w:r>
        <w:rPr/>
        <w:t>формирование иранско-китайской оси, которая в будущем может расшириться и включить Россию;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</w:rPr>
      </w:pPr>
      <w:r>
        <w:rPr/>
        <w:t xml:space="preserve">— </w:t>
      </w:r>
      <w:r>
        <w:rPr/>
        <w:t>косвенное давление на энергетические маршруты, поскольку Китай усиливает своё присутствие в Персидском заливе, а Иран получает большую уверенность в управлении кризисами, подобными ситуации вокруг Ормузского пролива.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</w:rPr>
      </w:pPr>
      <w:r>
        <w:rPr/>
        <w:t>Тем не менее Иран опасался предоставлять Китаю чрезмерно долгосрочные привилегии в условиях отсутствия прозрачности и риска попасть в долговую ловушку. Сам Китай также проявлял осторожность: он не стал полностью воплощать это соглашение в реальности, а его реализация продвигалась медленно из-за американских санкций против Ирана. Поэтому объём инвестиций так и не достиг широко обсуждавшейся суммы в 400 миллиардов долларов.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</w:rPr>
      </w:pPr>
      <w:r>
        <w:rPr/>
        <w:t>И здесь нельзя утверждать, что война началась исключительно из-за этого соглашения. Однако с началом войны и её последствиями данное соглашение стало одной из целей давления, а возможно — и попыток подтолкнуть Иран к его сокращению или даже прямой отмене наряду с другими задачами.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</w:rPr>
      </w:pPr>
      <w:r>
        <w:rPr/>
        <w:t>Исходя из этого, становится очевидно, что одной из негласных целей любого американского давления или эскалации является не только изменение поведения Ирана, но и ограничение, а возможно — и лишение его способности использовать этот козырь.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</w:rPr>
      </w:pPr>
      <w:r>
        <w:rPr/>
        <w:t>Контроль над морскими путями или нейтрализация тех, кто способен им угрожать, уже десятилетиями остаётся в основе стратегической доктрины Вашингтона. И любая региональная сила, обладающая возможностью нарушить этот поток, рассматривается как фактор нестабильности, который необходимо держать под контролем, а при возможности — и ликвидировать.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</w:rPr>
      </w:pPr>
      <w:r>
        <w:rPr/>
        <w:t>Однако парадокс заключается в том, что попытки лишить Иран этой возможности могут подтолкнуть его к ещё более жёсткому удержанию за неё или к разработке нетрадиционных инструментов компенсации — будь то через региональных союзников или посредством использования современных технологий, включая космические и разведывательные. И здесь конфликт превращается из противостояния за территорию в борьбу за инструменты влияния, а из спора за морские пути — в соревнование за то, кто способен их блокировать или защищать.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</w:rPr>
      </w:pPr>
      <w:r>
        <w:rPr/>
        <w:t>Исходя из этого, стремление Америки вернуть себе полный контроль над этой чувствительной точкой отражает не только её желание держать Иран под контролем, но и раскрывает более глубокую борьбу — борьбу за то, кто определяет правила мирового транзита и кто обладает способностью перекрывать эти пути при необходимости. На этом уровне кризис уже перестаёт быть просто региональным конфликтом и становится частью более масштабного противостояния за саму форму международного порядка.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</w:rPr>
      </w:pPr>
      <w:r>
        <w:rPr/>
        <w:t>Однако именно окончательные результаты переговоров покажут, удалось ли Америке превратить Иран из государства, вращающегося в её орбите, в полностью зависимое от неё государство, или же Иран избежит падения в состояние зависимости и устремится стать независимой державой, используя соглашение с Китаем. Это, в свою очередь, зависит от сохранения власти Корпусом стражей исламской революции. Если же Америке удастся сместить этот режим, то возможно  она добьётся превращения Ирана в полностью подчинённое ей государство.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</w:rPr>
      </w:pPr>
      <w:r>
        <w:rPr/>
        <w:t>Парадоксально, но все эти сухопутные, морские и воздушные пути проходят через мусульманские земли. И когда  по воле Аллаха  будет установлен Халифат, эти географические и стратегические факторы станут колоссальными инструментами его силы. Однако реализация этого потенциала остаётся возможной лишь при наличии политического образования, способного использовать их в рамках целостного видения — в лице государства Халифат, которое направит эти ресурсы на достижение стабильности и справедливости.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</w:rPr>
      </w:pPr>
      <w:r>
        <w:rPr/>
        <w:t>Следовательно, возвращение реального влияния на международную арену требует организованной политической и интеллектуальной деятельности, направленной на восстановление силы на ясной основе, возобновление исламского образа жизни и предоставление Умме возможности использовать своё положение и богатства в рамках идеологического проекта, способного влиять на мировой баланс сил.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/>
          <w:bCs/>
        </w:rPr>
        <w:t>Набиль Абдулькарим</w:t>
      </w:r>
    </w:p>
    <w:p>
      <w:pPr>
        <w:pStyle w:val="Normal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13.05.2026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709"/>
        </w:tabs>
        <w:ind w:start="709" w:hanging="283"/>
      </w:pPr>
      <w:rPr>
        <w:b/>
        <w:bCs/>
      </w:rPr>
    </w:lvl>
    <w:lvl w:ilvl="1">
      <w:start w:val="1"/>
      <w:numFmt w:val="decimal"/>
      <w:lvlText w:val="%2."/>
      <w:lvlJc w:val="start"/>
      <w:pPr>
        <w:tabs>
          <w:tab w:val="num" w:pos="1418"/>
        </w:tabs>
        <w:ind w:start="1418" w:hanging="283"/>
      </w:pPr>
      <w:rPr/>
    </w:lvl>
    <w:lvl w:ilvl="2">
      <w:start w:val="1"/>
      <w:numFmt w:val="decimal"/>
      <w:lvlText w:val="%3."/>
      <w:lvlJc w:val="start"/>
      <w:pPr>
        <w:tabs>
          <w:tab w:val="num" w:pos="2127"/>
        </w:tabs>
        <w:ind w:start="2127" w:hanging="283"/>
      </w:pPr>
      <w:rPr/>
    </w:lvl>
    <w:lvl w:ilvl="3">
      <w:start w:val="1"/>
      <w:numFmt w:val="decimal"/>
      <w:lvlText w:val="%4."/>
      <w:lvlJc w:val="start"/>
      <w:pPr>
        <w:tabs>
          <w:tab w:val="num" w:pos="2836"/>
        </w:tabs>
        <w:ind w:start="2836" w:hanging="283"/>
      </w:pPr>
      <w:rPr/>
    </w:lvl>
    <w:lvl w:ilvl="4">
      <w:start w:val="1"/>
      <w:numFmt w:val="decimal"/>
      <w:lvlText w:val="%5."/>
      <w:lvlJc w:val="start"/>
      <w:pPr>
        <w:tabs>
          <w:tab w:val="num" w:pos="3545"/>
        </w:tabs>
        <w:ind w:start="3545" w:hanging="283"/>
      </w:pPr>
      <w:rPr/>
    </w:lvl>
    <w:lvl w:ilvl="5">
      <w:start w:val="1"/>
      <w:numFmt w:val="decimal"/>
      <w:lvlText w:val="%6."/>
      <w:lvlJc w:val="start"/>
      <w:pPr>
        <w:tabs>
          <w:tab w:val="num" w:pos="4254"/>
        </w:tabs>
        <w:ind w:start="4254" w:hanging="283"/>
      </w:pPr>
      <w:rPr/>
    </w:lvl>
    <w:lvl w:ilvl="6">
      <w:start w:val="1"/>
      <w:numFmt w:val="decimal"/>
      <w:lvlText w:val="%7."/>
      <w:lvlJc w:val="start"/>
      <w:pPr>
        <w:tabs>
          <w:tab w:val="num" w:pos="4963"/>
        </w:tabs>
        <w:ind w:start="4963" w:hanging="283"/>
      </w:pPr>
      <w:rPr/>
    </w:lvl>
    <w:lvl w:ilvl="7">
      <w:start w:val="1"/>
      <w:numFmt w:val="decimal"/>
      <w:lvlText w:val="%8."/>
      <w:lvlJc w:val="start"/>
      <w:pPr>
        <w:tabs>
          <w:tab w:val="num" w:pos="5672"/>
        </w:tabs>
        <w:ind w:start="5672" w:hanging="283"/>
      </w:pPr>
      <w:rPr/>
    </w:lvl>
    <w:lvl w:ilvl="8">
      <w:start w:val="1"/>
      <w:numFmt w:val="decimal"/>
      <w:lvlText w:val="%9."/>
      <w:lvlJc w:val="start"/>
      <w:pPr>
        <w:tabs>
          <w:tab w:val="num" w:pos="6381"/>
        </w:tabs>
        <w:ind w:start="6381" w:hanging="283"/>
      </w:pPr>
      <w:rPr/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Style14">
    <w:name w:val="Символ нумерации"/>
    <w:qFormat/>
    <w:rPr/>
  </w:style>
  <w:style w:type="paragraph" w:styleId="Style15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6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71</TotalTime>
  <Application>LibreOffice/7.6.7.2$Linux_X86_64 LibreOffice_project/60$Build-2</Application>
  <AppVersion>15.0000</AppVersion>
  <Pages>4</Pages>
  <Words>1215</Words>
  <Characters>7901</Characters>
  <CharactersWithSpaces>9107</CharactersWithSpaces>
  <Paragraphs>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2026-05-13T17:25:37Z</dcterms:created>
  <dc:creator/>
  <dc:description/>
  <dc:language>ru-RU</dc:language>
  <cp:lastModifiedBy/>
  <dcterms:modified xsi:type="dcterms:W3CDTF">2026-05-18T21:12:36Z</dcterms:modified>
  <cp:revision>26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