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>С именем Аллаха, Милостивого и Милосердного</w:t>
      </w:r>
    </w:p>
    <w:p>
      <w:pPr>
        <w:pStyle w:val="Normal"/>
        <w:jc w:val="center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>Серия ответов учёного Ата ибн Халиля Абу ар-Рашты, амира Хизб ут-Тахрир, на вопросы, заданные на его странице в «Фейсбук» на фикхий тематику</w:t>
      </w:r>
    </w:p>
    <w:p>
      <w:pPr>
        <w:pStyle w:val="Normal"/>
        <w:jc w:val="center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>Ответ на вопрос</w:t>
      </w:r>
    </w:p>
    <w:p>
      <w:pPr>
        <w:pStyle w:val="Normal"/>
        <w:jc w:val="center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>Деятельность Хизб ут-Тахрир после установления Праведного Халифата</w:t>
      </w:r>
    </w:p>
    <w:p>
      <w:pPr>
        <w:pStyle w:val="Normal"/>
        <w:jc w:val="center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  <w:t>адресовано Юсуфу Хабаши</w:t>
      </w:r>
    </w:p>
    <w:p>
      <w:pPr>
        <w:pStyle w:val="Normal"/>
        <w:ind w:firstLine="567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u w:val="single"/>
          <w:vertAlign w:val="baseline"/>
        </w:rPr>
        <w:t>Вопрос:</w:t>
      </w:r>
    </w:p>
    <w:p>
      <w:pPr>
        <w:pStyle w:val="Normal"/>
        <w:ind w:firstLine="567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  <w:t>Ассаляму алейкум ва рахматуллахи ва баракятуху, уважаемый шейх! Да хранит Вас Аллах и приведёт мусульман к нусре под вашим руководством.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position w:val="0"/>
          <w:sz w:val="24"/>
          <w:sz w:val="24"/>
          <w:vertAlign w:val="baseline"/>
        </w:rPr>
        <w:t>Меня зовут Юсуф Хабаши, я из Туниса. Хочу спросить вас относительно продолжения деятельности Хизб ут-Тахрир после установления Праведного Халифата: какой будет деятельность Хизба после установления государства? Какова цель сохранения Хизба после установления? И каково доказательство на это?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u w:val="single"/>
          <w:vertAlign w:val="baseline"/>
        </w:rPr>
        <w:t>Ответ: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  <w:t>Ва алейкум ассалям ва рахматуллахи ва баракятуху.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  <w:t>1. Да, Хизб сохранит деятельность после установления Халифата, ведь наличие партии является фардом как до установления Халифата, так и после его установления. В книге «Хизб ут-Тахрир» пишется:</w:t>
      </w:r>
    </w:p>
    <w:p>
      <w:pPr>
        <w:pStyle w:val="Normal"/>
        <w:ind w:firstLine="567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«Хизб был образован в ответ на слова Всевышнего Аллаха:</w:t>
      </w:r>
    </w:p>
    <w:p>
      <w:pPr>
        <w:pStyle w:val="Normal"/>
        <w:bidi w:val="1"/>
        <w:jc w:val="center"/>
        <w:rPr>
          <w:rFonts w:cs="Scheherazade"/>
        </w:rPr>
      </w:pPr>
      <w:r>
        <w:rPr>
          <w:rFonts w:ascii="Traditional Arabic" w:hAnsi="Traditional Arabic" w:cs="Scheherazade"/>
          <w:position w:val="0"/>
          <w:sz w:val="32"/>
          <w:sz w:val="32"/>
          <w:sz w:val="32"/>
          <w:szCs w:val="32"/>
          <w:vertAlign w:val="baseline"/>
          <w:rtl w:val="true"/>
        </w:rPr>
        <w:t>وَلۡتَكُن مِّنكُمۡ أُمَّة</w:t>
      </w:r>
      <w:r>
        <w:rPr>
          <w:rFonts w:ascii="Times New Roman" w:hAnsi="Times New Roman" w:cs="Scheherazade"/>
          <w:position w:val="0"/>
          <w:sz w:val="32"/>
          <w:sz w:val="32"/>
          <w:sz w:val="32"/>
          <w:szCs w:val="32"/>
          <w:vertAlign w:val="baseline"/>
          <w:rtl w:val="true"/>
        </w:rPr>
        <w:t>ٞ</w:t>
      </w:r>
      <w:r>
        <w:rPr>
          <w:rFonts w:ascii="Traditional Arabic" w:hAnsi="Traditional Arabic" w:cs="Scheherazade"/>
          <w:position w:val="0"/>
          <w:sz w:val="32"/>
          <w:sz w:val="32"/>
          <w:sz w:val="32"/>
          <w:szCs w:val="32"/>
          <w:vertAlign w:val="baseline"/>
          <w:rtl w:val="true"/>
        </w:rPr>
        <w:t xml:space="preserve"> يَدۡعُونَ إِلَى ٱلۡخَيۡرِ وَيَأۡمُرُونَ بِٱلۡمَعۡرُوفِ وَيَنۡهَوۡنَ عَنِ ٱلۡمُنكَرِۚ وَأُوْلَٰٓئِكَ هُمُ ٱلۡمُفۡلِحُونَ</w:t>
      </w:r>
      <w:r>
        <w:rPr>
          <w:rFonts w:ascii="Traditional Arabic" w:hAnsi="Traditional Arabic" w:cs="Scheherazade"/>
          <w:position w:val="0"/>
          <w:sz w:val="32"/>
          <w:sz w:val="32"/>
          <w:sz w:val="32"/>
          <w:szCs w:val="32"/>
          <w:vertAlign w:val="baseline"/>
        </w:rPr>
        <w:t>١٠٤</w:t>
      </w:r>
    </w:p>
    <w:p>
      <w:pPr>
        <w:pStyle w:val="Normal"/>
        <w:widowControl/>
        <w:suppressLineNumbers/>
        <w:suppressAutoHyphens w:val="true"/>
        <w:bidi w:val="0"/>
        <w:spacing w:lineRule="auto" w:line="360" w:before="0" w:after="120"/>
        <w:ind w:firstLine="567" w:left="0" w:right="0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b/>
          <w:bCs/>
          <w:position w:val="0"/>
          <w:sz w:val="24"/>
          <w:sz w:val="24"/>
          <w:vertAlign w:val="baseline"/>
        </w:rPr>
        <w:t>«Пусть среди вас будет группа людей, которые будут призывать к добру, повелевать одобряемое и запрещать предосудительное. Именно они окажутся преуспевшими»</w:t>
      </w:r>
      <w:r>
        <w:rPr>
          <w:rFonts w:cs="" w:cstheme="majorBidi"/>
          <w:position w:val="0"/>
          <w:sz w:val="24"/>
          <w:sz w:val="24"/>
          <w:vertAlign w:val="baseline"/>
        </w:rPr>
        <w:t xml:space="preserve"> (3:104).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Цель Хизба — возродить Умму из упадочного состояния, в котором она оказалась, и освободить её от влияния идей, законов и систем неверия, от гегемонии стран неверия и их влияния, а также вести деятельность по возрождению Халифата, чтобы вернуть исламское правление.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Во-первых, Хизб был образован в ответ на слова Всевышнего Аллаха:</w:t>
      </w:r>
    </w:p>
    <w:p>
      <w:pPr>
        <w:pStyle w:val="Normal"/>
        <w:bidi w:val="1"/>
        <w:ind w:firstLine="567"/>
        <w:jc w:val="center"/>
        <w:rPr>
          <w:rFonts w:cs="Scheherazade"/>
        </w:rPr>
      </w:pPr>
      <w:r>
        <w:rPr>
          <w:rFonts w:cs="Scheherazade"/>
          <w:position w:val="0"/>
          <w:sz w:val="32"/>
          <w:sz w:val="32"/>
          <w:sz w:val="32"/>
          <w:szCs w:val="32"/>
          <w:vertAlign w:val="baseline"/>
          <w:rtl w:val="true"/>
        </w:rPr>
        <w:t>وَلۡتَكُن مِّنكُمۡ أُمَّةٞ</w:t>
      </w:r>
    </w:p>
    <w:p>
      <w:pPr>
        <w:pStyle w:val="Normal"/>
        <w:jc w:val="center"/>
        <w:rPr>
          <w:position w:val="0"/>
          <w:sz w:val="22"/>
          <w:sz w:val="22"/>
          <w:vertAlign w:val="baseline"/>
        </w:rPr>
      </w:pPr>
      <w:r>
        <w:rPr>
          <w:rFonts w:cs="" w:cstheme="majorBidi"/>
          <w:b/>
          <w:bCs/>
          <w:position w:val="0"/>
          <w:sz w:val="24"/>
          <w:sz w:val="24"/>
          <w:vertAlign w:val="baseline"/>
        </w:rPr>
        <w:t>«Пусть среди вас будет группа людей»</w:t>
      </w:r>
      <w:r>
        <w:rPr>
          <w:rFonts w:cs="" w:cstheme="majorBidi"/>
          <w:position w:val="0"/>
          <w:sz w:val="24"/>
          <w:sz w:val="24"/>
          <w:vertAlign w:val="baseline"/>
        </w:rPr>
        <w:t xml:space="preserve"> (3:104).</w:t>
      </w:r>
    </w:p>
    <w:p>
      <w:pPr>
        <w:pStyle w:val="Normal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В этом аяте Всевышний Аллах повелевает, чтобы среди мусульман существовала сплочённая группа, совершающая два действия: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 xml:space="preserve">• </w:t>
      </w: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призывала к добру (Исламу);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 xml:space="preserve">• </w:t>
      </w: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приказывала одобряемое и запрещала предосудительное.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Хотя данное повеление о создании сплочённой группы выражено в форме требования, однако оно также содержит карину (посыл), указывающую на категоричность этого повеления. Поэтому деятельность, обозначенная данным аятом, является фардом для мусульман. Это подтверждается множеством других аятов и хадисов. Пророк Мухаммад (с.а.с.) сказал:</w:t>
      </w:r>
    </w:p>
    <w:p>
      <w:pPr>
        <w:pStyle w:val="Normal"/>
        <w:widowControl/>
        <w:suppressLineNumbers/>
        <w:suppressAutoHyphens w:val="true"/>
        <w:bidi w:val="1"/>
        <w:spacing w:lineRule="auto" w:line="360" w:before="0" w:after="120"/>
        <w:ind w:firstLine="567" w:left="0" w:right="0"/>
        <w:jc w:val="both"/>
        <w:rPr>
          <w:rFonts w:cs="Scheherazade"/>
        </w:rPr>
      </w:pPr>
      <w:r>
        <w:rPr>
          <w:rFonts w:ascii="Traditional Arabic" w:hAnsi="Traditional Arabic" w:cs="Scheherazade"/>
          <w:position w:val="0"/>
          <w:sz w:val="32"/>
          <w:sz w:val="32"/>
          <w:sz w:val="32"/>
          <w:szCs w:val="32"/>
          <w:vertAlign w:val="baseline"/>
          <w:rtl w:val="true"/>
        </w:rPr>
        <w:t>وَالَّذِي نَفْسِي بِيَدِهِ لَتَأْمُرُنَّ بِالْمَعْرُوفِ وَلَتَنْهَوُنَّ عَنِ الْمُنْكَرِ أَوْ لَيُوشِكَنَّ اللَّهُ أَنْ يَبْعَثَ عَلَيْكُمْ عِقَابًا مِنْ عِنْدِهِ ثُمَّ لَتَدْعُنَّهُ فَلَا يَسْتَجِيبُ لَكُمْ</w:t>
      </w:r>
    </w:p>
    <w:p>
      <w:pPr>
        <w:pStyle w:val="Normal"/>
        <w:widowControl/>
        <w:suppressLineNumbers/>
        <w:suppressAutoHyphens w:val="true"/>
        <w:bidi w:val="0"/>
        <w:spacing w:lineRule="auto" w:line="360" w:before="0" w:after="120"/>
        <w:ind w:firstLine="567" w:left="0" w:right="0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b/>
          <w:bCs/>
          <w:i/>
          <w:iCs/>
          <w:position w:val="0"/>
          <w:sz w:val="24"/>
          <w:sz w:val="24"/>
          <w:vertAlign w:val="baseline"/>
        </w:rPr>
        <w:t>«Клянусь Тем, в Чьей длани душа моя! Вы непременно будете приказывать одобряемое и запрещать предосудительное. В противном случае вы рискуете тем, что Аллах нашлёт на вас наказание, после чего вы будете взывать к Нему, но Он не ответит вам»</w:t>
      </w:r>
      <w:r>
        <w:rPr>
          <w:rFonts w:cs="" w:cstheme="majorBidi"/>
          <w:position w:val="0"/>
          <w:sz w:val="24"/>
          <w:sz w:val="24"/>
          <w:vertAlign w:val="baseline"/>
        </w:rPr>
        <w:t xml:space="preserve"> (Ахмад).</w:t>
      </w:r>
    </w:p>
    <w:p>
      <w:pPr>
        <w:pStyle w:val="Normal"/>
        <w:widowControl/>
        <w:suppressLineNumbers/>
        <w:suppressAutoHyphens w:val="true"/>
        <w:bidi w:val="0"/>
        <w:spacing w:lineRule="auto" w:line="360" w:before="0" w:after="120"/>
        <w:ind w:firstLine="567" w:left="0" w:right="0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Этот хадис служит кариной (посылом) на то, что требование является категоричным, а его дело — ваджибом.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Группа должна носить политический характер, являться политической партией, об этом говорят два фактора, упомянутых в аяте: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 xml:space="preserve">— </w:t>
      </w: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веление мусульманам создать сплочённую группу;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 xml:space="preserve">— </w:t>
      </w: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призыв к Исламу, приказ одобряемого и запрет предосудительного.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Приказывать одобряемое и запрещать предосудительное должно касаться в том числе и правителей. Более того, это имеет первостепенное значение (т.е. приказывать одобряемое и запрещать предосудительное), что называется требованием отчёта с правителей. Также наставлять правителей является самой важной и приметной стороной политической деятельности партий. Отсюда совершенно очевидно, что аят указывает на обязательность создания именно политических партий.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В то же время аят предельно ясно ограничивает то, чтобы сплочение оставалось исламским, так как первостепенная задача, которую ставит аят — призыв к Исламу, повеление одобряемого и запрет предосудительного в соответствии с законами Ислама. А этого могут добиться только исламские группы и партии.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rFonts w:cs="" w:cstheme="majorBidi"/>
          <w:i/>
          <w:iCs/>
          <w:position w:val="0"/>
          <w:sz w:val="24"/>
          <w:sz w:val="24"/>
          <w:vertAlign w:val="baseline"/>
        </w:rPr>
        <w:t>Исламская партия — это партия, основанная на исламской Акыде (мировоззрении), которая приняла исламские идеи и законы, придав им статус табанни; её метод — это метод Посланника (с.а.с.)»</w:t>
      </w:r>
      <w:r>
        <w:rPr>
          <w:rFonts w:cs="" w:cstheme="majorBidi"/>
          <w:position w:val="0"/>
          <w:sz w:val="24"/>
          <w:sz w:val="24"/>
          <w:vertAlign w:val="baseline"/>
        </w:rPr>
        <w:t>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  <w:t>2. Поэтому партия продолжит существовать после установления Халифата. Однако деятельность, которую она будет вести после прихода к власти, отличается от деятельности, которую она вела до установления, в соответствии с шариатскими законами... Мы разъяснили это в ответе на вопрос от 30.12.2014, где было сказано: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«Ответ на это таков: партия выполняет четыре вида деятельности: концентрированное просвещение и коллективное просвещение… Этими видами деятельности партия продолжает заниматься и после прихода к власти так же, как занималась ими до прихода к власти. Также она ведёт идейную борьбу после прихода к власти так же, как вела её до прихода к власти. Кроме того, она занимается принятием интересов и раскрытием планов.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 xml:space="preserve">Что касается принятия интересов, то до прихода к власти партия занимается этим через своё руководство и через комитеты вилаятов. Но поскольку после прихода к власти её руководство уже фактически занимается управлением делами людей и ведением их дел, то в отношении него вопрос принятия интересов уже не актуален. Однако </w:t>
      </w:r>
      <w:bookmarkStart w:id="0" w:name="_GoBack"/>
      <w:bookmarkEnd w:id="0"/>
      <w:r>
        <w:rPr>
          <w:i/>
          <w:iCs/>
          <w:position w:val="0"/>
          <w:sz w:val="24"/>
          <w:sz w:val="24"/>
          <w:vertAlign w:val="baseline"/>
        </w:rPr>
        <w:t>полномочия комитетов вилаятов в принятии интересов после прихода к власти остаются такими же, какими они были до прихода к власти. Они от имени партии берут на себя принятие интересов Уммы.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Что же касается раскрытия планов, то это уже не имеет места, поскольку речь идёт о раскрытии планов неверных и лицемеров. А с установлением государства партия борется с неверными и лицемерами посредством джихада, установления наказаний и исполнения законов Шариата. Поэтому вопрос раскрытия планов уже не возникает в партии.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Таким образом, деятельность партии после прихода к власти будет такой же, как и до прихода к власти, без какого-либо различия, за исключением того, что отчёт с правителей в вопросе раскрытия колонизаторских планов уже не будет иметь места. Ведь нахождение партии у власти устраняет сам вопрос раскрытия колонизаторских планов, поскольку она уже фактически взяла на себя противодействие им.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При этом отчёт с правителей в вопросе принятия интересов остаётся таким же, каким был до прихода к власти, и его осуществляют комитеты вилаятов. Следовательно, партия продолжает выполнять все свои дела после прихода к власти так же, как выполняла их до прихода к власти. Все её аппараты, как обычно, занимаются этим, а Комитет руководства естественным образом управляет этим процессом.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Исключением является отчёт с правителей: его осуществляют комитеты вилаятов, но только в вопросе принятия интересов. Они отчитывают правителя как правителя, даже если он является частью руководства, поскольку у них есть полномочия отчёта правителя при наличии Комитета руководства. И у них есть полномочия отчитывать Комитет руководства как Комитет руководства. На этом основании отчёт правителей со стороны партии, когда она находится у власти, будет таким же, каким был отчёт, когда она находилась вне власти, без какого-либо различия.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Ответ от 8 Джумада аль-уля 1387 г. х. — 14.08.1967 г.».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i/>
          <w:iCs/>
          <w:position w:val="0"/>
          <w:sz w:val="24"/>
          <w:sz w:val="24"/>
          <w:vertAlign w:val="baseline"/>
        </w:rPr>
        <w:t>Мы повторили это в ответе от 30.12.2014».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  <w:t>Надеюсь этого достаточно для полной ясности. И Аллах знает лучше.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position w:val="0"/>
          <w:sz w:val="22"/>
          <w:sz w:val="22"/>
          <w:vertAlign w:val="baseline"/>
        </w:rPr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>Ата ибн Халиль Абу ар-Рашта</w:t>
      </w:r>
    </w:p>
    <w:p>
      <w:pPr>
        <w:pStyle w:val="Normal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>5 Зуль-хиджа 1447 г.х.</w:t>
      </w:r>
    </w:p>
    <w:p>
      <w:pPr>
        <w:pStyle w:val="Normal"/>
        <w:spacing w:before="0" w:after="120"/>
        <w:ind w:firstLine="567"/>
        <w:jc w:val="both"/>
        <w:rPr>
          <w:position w:val="0"/>
          <w:sz w:val="22"/>
          <w:sz w:val="22"/>
          <w:vertAlign w:val="baseline"/>
        </w:rPr>
      </w:pPr>
      <w:r>
        <w:rPr>
          <w:b/>
          <w:bCs/>
          <w:position w:val="0"/>
          <w:sz w:val="24"/>
          <w:sz w:val="24"/>
          <w:vertAlign w:val="baseline"/>
        </w:rPr>
        <w:t xml:space="preserve">22.05.2026 </w:t>
      </w:r>
    </w:p>
    <w:sectPr>
      <w:type w:val="nextPage"/>
      <w:pgSz w:w="11906" w:h="16838"/>
      <w:pgMar w:left="1134" w:right="1133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a621e"/>
    <w:pPr>
      <w:widowControl/>
      <w:suppressLineNumbers/>
      <w:suppressAutoHyphens w:val="true"/>
      <w:bidi w:val="0"/>
      <w:spacing w:lineRule="auto" w:line="360" w:before="0" w:after="120"/>
      <w:jc w:val="left"/>
    </w:pPr>
    <w:rPr>
      <w:rFonts w:eastAsia="Calibri" w:cs="Arial" w:asciiTheme="majorBidi" w:hAnsiTheme="majorBidi"/>
      <w:color w:val="auto"/>
      <w:kern w:val="0"/>
      <w:sz w:val="24"/>
      <w:szCs w:val="24"/>
      <w:vertAlign w:val="superscript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Application>LibreOffice/7.6.7.2$Linux_X86_64 LibreOffice_project/60$Build-2</Application>
  <AppVersion>15.0000</AppVersion>
  <Pages>5</Pages>
  <Words>988</Words>
  <Characters>5973</Characters>
  <CharactersWithSpaces>6926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2026-06-01T10:14:00Z</dcterms:created>
  <dc:creator>bagu bag</dc:creator>
  <dc:description/>
  <dc:language>ru-RU</dc:language>
  <cp:lastModifiedBy/>
  <dcterms:modified xsi:type="dcterms:W3CDTF">2026-06-07T08:37:03Z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