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2"/>
        <w:bidi w:val="0"/>
        <w:spacing w:lineRule="auto" w:line="360" w:before="0" w:after="113"/>
        <w:ind w:hanging="0" w:start="0"/>
        <w:jc w:val="center"/>
        <w:rPr>
          <w:rFonts w:ascii="Liberation Serif" w:hAnsi="Liberation Serif" w:cs="Liberation Serif"/>
          <w:b w:val="false"/>
          <w:bCs w:val="false"/>
          <w:i/>
          <w:iCs/>
          <w:sz w:val="24"/>
          <w:szCs w:val="24"/>
        </w:rPr>
      </w:pPr>
      <w:r>
        <w:rPr>
          <w:rFonts w:cs="Liberation Serif"/>
          <w:b w:val="false"/>
          <w:bCs w:val="false"/>
          <w:i/>
          <w:iCs/>
          <w:sz w:val="24"/>
          <w:szCs w:val="24"/>
        </w:rPr>
        <w:t>Газета «Ар-Рая»</w:t>
      </w:r>
    </w:p>
    <w:p>
      <w:pPr>
        <w:pStyle w:val="Heading2"/>
        <w:bidi w:val="0"/>
        <w:spacing w:lineRule="auto" w:line="360" w:before="0" w:after="113"/>
        <w:ind w:hanging="0" w:start="0"/>
        <w:jc w:val="center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Визит Тони Блэра в Узбекистан знаменует о начале нового этапа геополитического противостояния в Центральной Азии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Государства в своей политике руководствуются не эмоциями, а интересами. В международных отношениях понятие «общих интересов» всегда стоит выше понятия «дружественное государство». Поэтому было бы ошибкой рассматривать визит Тони Блэра в Ташкент как обычную протокольную встречу.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Вопрос следует ставить иначе: почему именно сейчас? Почему именно Узбекистан? И почему именно Тони Блэр? Пока не будут найдены ответы на эти вопросы, невозможно понять истинное содержание этого визита.</w:t>
      </w:r>
    </w:p>
    <w:p>
      <w:pPr>
        <w:pStyle w:val="Heading3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Почему Центральная Азия вновь оказалась в центре внимания международных отношений?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Ещё совсем недавно Центральную Азию рассматривали лишь как регион, имеющий значение лишь на региональном уровне. Сегодня ситуация изменилась.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Война на Украине изменила масштабы российского влияния и её возможности в этом регионе. Одновременно Китай продолжает расширять своё присутствие посредством торговых коридоров и масштабных инвестиций. Соединённые Штаты и Европа, в свою очередь, не желают, чтобы влияние России и Китая в Центральной Азии превратилось в единовластное господство.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Сегодня Центральная Азия — это уже не просто географическое пространство, на котором расположены пять государств. Она превратилась в важнейший геополитический центр, имеющий стратегическое значение благодаря транспортным коридорам, связывающим Европу и Азию, энергетическим ресурсам, запасам сырья, а также своему значению в сфере безопасности. И в таких реалиях каждая крупная держава стремится укрепить своё присутствие в этом регионе.</w:t>
      </w:r>
    </w:p>
    <w:p>
      <w:pPr>
        <w:pStyle w:val="Heading3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Почему именно Великобритания?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Многие воспринимают Великобританию лишь как одно из европейских государств, однако история говорит об обратном.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На протяжении веков Великобритания совершенствовала искусство влияния и установления контроля не только с помощью военной силы, но и посредством дипломатии, экономики, образования и экспертной помощи. И сегодня она управляет многими странами не напрямую, а через советников, консалтинговые структуры, инвестиции, а также проекты по реформированию государственного управления и системы управления в целом. Самое главное здесь то, что её по-прежнему следует рассматривать как колониальную державу.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Тони Блэр считается одним из наиболее заметных представителей этой политики. Поэтому считать, что любая рекомендация, которую он даёт, непременно принесёт пользу Узбекистану, — значит проявлять политическую наивность.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Следует помнить простое правило международной политики: крупные государственные деятели, как правило, не проводят политику, противоречащую долгосрочным стратегическим интересам своих государств.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Исходя из этого, любые советы, исходящие извне, необходимо оценивать с учётом возможных последствий, к которым они могут привести.</w:t>
      </w:r>
    </w:p>
    <w:p>
      <w:pPr>
        <w:pStyle w:val="Heading3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 геополитической точки зрения: какие советы Тони Блэр мог дать Мирзиёеву?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Поскольку полное содержание официальной встречи опубликовано не было, мы не знаем, что именно на ней обсуждалось. Тем не менее, исходя из нынешней международной обстановки, можно проанализировать наиболее вероятные направления и темы этих переговоров.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Сегодня Центральная Азия превращается в одну из важнейших арен мирового соперничества. Одновременно сразу несколько держав стремятся усилить там своё влияние:</w:t>
      </w:r>
    </w:p>
    <w:p>
      <w:pPr>
        <w:pStyle w:val="BodyText"/>
        <w:numPr>
          <w:ilvl w:val="0"/>
          <w:numId w:val="2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  <w:sz w:val="24"/>
          <w:szCs w:val="24"/>
        </w:rPr>
        <w:t>Россия</w:t>
      </w:r>
      <w:r>
        <w:rPr>
          <w:rFonts w:cs="Liberation Serif"/>
          <w:sz w:val="24"/>
          <w:szCs w:val="24"/>
        </w:rPr>
        <w:t xml:space="preserve"> стремится сохранить своё традиционное влияние в сфере безопасности и экономики.</w:t>
      </w:r>
    </w:p>
    <w:p>
      <w:pPr>
        <w:pStyle w:val="BodyText"/>
        <w:numPr>
          <w:ilvl w:val="0"/>
          <w:numId w:val="2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  <w:sz w:val="24"/>
          <w:szCs w:val="24"/>
        </w:rPr>
        <w:t>Китай</w:t>
      </w:r>
      <w:r>
        <w:rPr>
          <w:rFonts w:cs="Liberation Serif"/>
          <w:sz w:val="24"/>
          <w:szCs w:val="24"/>
        </w:rPr>
        <w:t xml:space="preserve"> расширяет своё присутствие посредством торговли, транспортных проектов и развития инфраструктуры.</w:t>
      </w:r>
    </w:p>
    <w:p>
      <w:pPr>
        <w:pStyle w:val="BodyText"/>
        <w:numPr>
          <w:ilvl w:val="0"/>
          <w:numId w:val="2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  <w:sz w:val="24"/>
          <w:szCs w:val="24"/>
        </w:rPr>
        <w:t>США и Великобритания</w:t>
      </w:r>
      <w:r>
        <w:rPr>
          <w:rFonts w:cs="Liberation Serif"/>
          <w:sz w:val="24"/>
          <w:szCs w:val="24"/>
        </w:rPr>
        <w:t xml:space="preserve"> пытаются сдержать это расширение и создать противовес российскому и китайскому влиянию.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Тони Блэр совершает подобные визиты не как действующий политический лидер, а как международный политический консультант. Возглавляемый им институт оказывает консультационные услуги многим государствам по вопросам государственного управления, экономических реформ и улучшения инвестиционного климата.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Поэтому данную встречу следует рассматривать как часть усилий Великобритании, направленных на укрепление своего влияния в регионе Центральной Азии.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Узбекистан стремится одновременно сохранять сбалансированные отношения с Россией, Китаем, Соединёнными Штатами, Европой и государствами региона. В этих условиях вполне вероятно, что зарубежные эксперты рекомендуют придерживаться следующих подходов: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сохранять баланс в многовекторной внешней политике;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активнее привлекать западные инвестиции и технологии;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приводить систему государственного управления и административные механизмы в соответствие с международными стандартами;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ускорить проведение реформ в сфере цифровой экономики и искусственного интеллекта;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/>
        <w:t>относительно экспорта</w:t>
      </w:r>
      <w:r>
        <w:rPr>
          <w:rFonts w:cs="Liberation Serif"/>
          <w:sz w:val="24"/>
          <w:szCs w:val="24"/>
        </w:rPr>
        <w:t xml:space="preserve"> природных ресурсов отдавать приоритет именно Великобритании, а не Китаю.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Подобные рекомендации могут в определённой степени отвечать и интересам самого Узбекистана. Так, например, можно сказать, что отказ Узбекистана поддержать Россию в её войне против Украины был сделан по британскому совету. Вместе с тем вполне естественно, что подобные позиции одновременно соответствуют и целям Великобритании, а также других западных государств, стремящихся укрепить своё влияние в регионе. В международной политике эти два обстоятельства вполне могут существовать одновременно.</w:t>
      </w:r>
    </w:p>
    <w:p>
      <w:pPr>
        <w:pStyle w:val="Heading3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 чего начинается суверенитет?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Независимость не достигается лишь наличием государственного флага, гимна и границ. Если стратегические решения государства, его модель развития и философия государственного управления постоянно формируются за пределами страны, то это неизбежно вызывает серьёзные вопросы о наличии подлинного суверенитета.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Перенимать зарубежный опыт допустимо, однако бездумно копировать его — совсем другое дело. Ни одна нация не сможет обрести настоящую независимость, пока не будет самостоятельно и независимо определять свои интересы, а также проводить собственную внутреннюю и внешнюю политику.</w:t>
      </w:r>
    </w:p>
    <w:p>
      <w:pPr>
        <w:pStyle w:val="Heading3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На какой источник должно опираться мусульманское общество с точки зрения исламской политической мысли?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Главным источником развития и прогресса для мусульман являются прежде всего Книга Аллаха и Сунна Его Посланника </w:t>
      </w:r>
      <w:r>
        <w:rPr>
          <w:rFonts w:ascii="Liberation Serif" w:hAnsi="Liberation Serif" w:cs="Liberation Serif"/>
          <w:sz w:val="24"/>
          <w:szCs w:val="24"/>
          <w:rtl w:val="true"/>
        </w:rPr>
        <w:t>ﷺ</w:t>
      </w:r>
      <w:r>
        <w:rPr>
          <w:rFonts w:cs="Liberation Serif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 исламской политической мысли основным критерием являются не личности, а источник и шариатское решение.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firstLine="567" w:start="0" w:end="0"/>
        <w:jc w:val="both"/>
        <w:rPr>
          <w:rFonts w:cs="Scheherazade"/>
        </w:rPr>
      </w:pPr>
      <w:r>
        <w:rPr>
          <w:rFonts w:ascii="Liberation Serif" w:hAnsi="Liberation Serif" w:cs="Scheherazade"/>
          <w:sz w:val="32"/>
          <w:szCs w:val="32"/>
          <w:rtl w:val="true"/>
        </w:rPr>
        <w:t>يَا أَيُّهَا الَّذِينَ آمَنُوا لَا تَتَّخِذُوا الْيَهُودَ وَالنَّصَارَىٰ أَوْلِيَاءَ بَعْضُهُمْ أَوْلِيَاءُ بَعْضٍ وَمَنْ يَتَوَلَّهُمْ مِنْكُمْ فَإِنَّهُ مِنْهُمْ إِنَّ اللَّهَ لَا يَهْدِي الْقَوْمَ الظَّالِمِين</w:t>
      </w:r>
    </w:p>
    <w:p>
      <w:pPr>
        <w:pStyle w:val="BodyText"/>
        <w:widowControl/>
        <w:suppressAutoHyphens w:val="true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«О те, которые уверовали! Не берите иудеев и христиан себе помощниками и друзьями, поскольку они помогают друг другу. Если же кто-либо из вас считает их своими помощниками и друзьями, то он сам является одним из них. Воистину, Аллах не ведет прямым путем несправедливых людей»</w:t>
      </w:r>
      <w:r>
        <w:rPr>
          <w:rFonts w:cs="Liberation Serif"/>
          <w:sz w:val="24"/>
          <w:szCs w:val="24"/>
        </w:rPr>
        <w:t xml:space="preserve"> (5:51).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  <w:sz w:val="24"/>
          <w:szCs w:val="24"/>
        </w:rPr>
        <w:t>Ислам Абу Халиль Узбекистан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</w:rPr>
        <w:t>08.07.2026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OpenSymbol">
    <w:altName w:val="Arial Unicode MS"/>
    <w:charset w:val="02"/>
    <w:family w:val="roman"/>
    <w:pitch w:val="variable"/>
  </w:font>
  <w:font w:name="Liberation Sans">
    <w:altName w:val="Arial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start"/>
      <w:pPr>
        <w:tabs>
          <w:tab w:val="num" w:pos="709"/>
        </w:tabs>
        <w:ind w:star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start"/>
      <w:pPr>
        <w:tabs>
          <w:tab w:val="num" w:pos="1418"/>
        </w:tabs>
        <w:ind w:star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start"/>
      <w:pPr>
        <w:tabs>
          <w:tab w:val="num" w:pos="2127"/>
        </w:tabs>
        <w:ind w:star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start"/>
      <w:pPr>
        <w:tabs>
          <w:tab w:val="num" w:pos="2836"/>
        </w:tabs>
        <w:ind w:star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start"/>
      <w:pPr>
        <w:tabs>
          <w:tab w:val="num" w:pos="3545"/>
        </w:tabs>
        <w:ind w:star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start"/>
      <w:pPr>
        <w:tabs>
          <w:tab w:val="num" w:pos="4254"/>
        </w:tabs>
        <w:ind w:star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start"/>
      <w:pPr>
        <w:tabs>
          <w:tab w:val="num" w:pos="4963"/>
        </w:tabs>
        <w:ind w:star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start"/>
      <w:pPr>
        <w:tabs>
          <w:tab w:val="num" w:pos="5672"/>
        </w:tabs>
        <w:ind w:star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start"/>
      <w:pPr>
        <w:tabs>
          <w:tab w:val="num" w:pos="6381"/>
        </w:tabs>
        <w:ind w:start="6381" w:hanging="283"/>
      </w:pPr>
      <w:rPr>
        <w:rFonts w:ascii="Symbol" w:hAnsi="Symbol" w:cs="Symbol" w:hint="default"/>
      </w:rPr>
    </w:lvl>
  </w:abstractNum>
  <w:abstractNum w:abstractNumId="2">
    <w:lvl w:ilvl="0">
      <w:start w:val="1"/>
      <w:numFmt w:val="bullet"/>
      <w:lvlText w:val=""/>
      <w:lvlJc w:val="start"/>
      <w:pPr>
        <w:tabs>
          <w:tab w:val="num" w:pos="709"/>
        </w:tabs>
        <w:ind w:star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start"/>
      <w:pPr>
        <w:tabs>
          <w:tab w:val="num" w:pos="1418"/>
        </w:tabs>
        <w:ind w:star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start"/>
      <w:pPr>
        <w:tabs>
          <w:tab w:val="num" w:pos="2127"/>
        </w:tabs>
        <w:ind w:star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start"/>
      <w:pPr>
        <w:tabs>
          <w:tab w:val="num" w:pos="2836"/>
        </w:tabs>
        <w:ind w:star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start"/>
      <w:pPr>
        <w:tabs>
          <w:tab w:val="num" w:pos="3545"/>
        </w:tabs>
        <w:ind w:star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start"/>
      <w:pPr>
        <w:tabs>
          <w:tab w:val="num" w:pos="4254"/>
        </w:tabs>
        <w:ind w:star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start"/>
      <w:pPr>
        <w:tabs>
          <w:tab w:val="num" w:pos="4963"/>
        </w:tabs>
        <w:ind w:star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start"/>
      <w:pPr>
        <w:tabs>
          <w:tab w:val="num" w:pos="5672"/>
        </w:tabs>
        <w:ind w:star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start"/>
      <w:pPr>
        <w:tabs>
          <w:tab w:val="num" w:pos="6381"/>
        </w:tabs>
        <w:ind w:start="6381" w:hanging="283"/>
      </w:pPr>
      <w:rPr>
        <w:rFonts w:ascii="Symbol" w:hAnsi="Symbol" w:cs="Symbol" w:hint="default"/>
      </w:rPr>
    </w:lvl>
  </w:abstractNum>
  <w:abstractNum w:abstractNumId="3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80"/>
  <w:defaultTabStop w:val="709"/>
  <w:autoHyphenation w:val="true"/>
  <w:hyphenationZone w:val="360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Heading2">
    <w:name w:val="heading 2"/>
    <w:basedOn w:val="user1"/>
    <w:next w:val="BodyText"/>
    <w:qFormat/>
    <w:pPr>
      <w:spacing w:before="200" w:after="120"/>
      <w:outlineLvl w:val="1"/>
    </w:pPr>
    <w:rPr>
      <w:rFonts w:ascii="Liberation Serif" w:hAnsi="Liberation Serif" w:eastAsia="Noto Serif CJK SC" w:cs="Noto Sans Devanagari"/>
      <w:b/>
      <w:bCs/>
      <w:sz w:val="36"/>
      <w:szCs w:val="36"/>
    </w:rPr>
  </w:style>
  <w:style w:type="paragraph" w:styleId="Heading3">
    <w:name w:val="heading 3"/>
    <w:basedOn w:val="user1"/>
    <w:next w:val="BodyText"/>
    <w:qFormat/>
    <w:pPr>
      <w:spacing w:before="140" w:after="120"/>
      <w:outlineLvl w:val="2"/>
    </w:pPr>
    <w:rPr>
      <w:rFonts w:ascii="Liberation Serif" w:hAnsi="Liberation Serif" w:eastAsia="Noto Serif CJK SC" w:cs="Noto Sans Devanagari"/>
      <w:b/>
      <w:bCs/>
      <w:sz w:val="28"/>
      <w:szCs w:val="28"/>
    </w:rPr>
  </w:style>
  <w:style w:type="character" w:styleId="Strong">
    <w:name w:val="Strong"/>
    <w:qFormat/>
    <w:rPr>
      <w:b/>
      <w:bCs/>
    </w:rPr>
  </w:style>
  <w:style w:type="character" w:styleId="user">
    <w:name w:val="Маркеры (user)"/>
    <w:qFormat/>
    <w:rPr>
      <w:rFonts w:ascii="OpenSymbol" w:hAnsi="OpenSymbol" w:eastAsia="OpenSymbol" w:cs="OpenSymbol"/>
    </w:rPr>
  </w:style>
  <w:style w:type="paragraph" w:styleId="Style12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Arabic U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3">
    <w:name w:val="Указатель"/>
    <w:basedOn w:val="Normal"/>
    <w:qFormat/>
    <w:pPr>
      <w:suppressLineNumbers/>
    </w:pPr>
    <w:rPr>
      <w:rFonts w:cs="Noto Sans Arabic UI"/>
    </w:rPr>
  </w:style>
  <w:style w:type="paragraph" w:styleId="user1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user2">
    <w:name w:val="Указатель (user)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70</TotalTime>
  <Application>LibreOffice/26.2.4.2$Linux_X86_64 LibreOffice_project/0229ac93fcf0d7cbc6376066c6f35021cef002dc</Application>
  <AppVersion>15.0000</AppVersion>
  <Pages>4</Pages>
  <Words>842</Words>
  <Characters>5742</Characters>
  <CharactersWithSpaces>6540</CharactersWithSpaces>
  <Paragraphs>39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2026-07-08T19:07:17Z</dcterms:created>
  <dc:creator/>
  <dc:description/>
  <dc:language>ru-RU</dc:language>
  <cp:lastModifiedBy/>
  <dcterms:modified xsi:type="dcterms:W3CDTF">2026-07-11T18:56:58Z</dcterms:modified>
  <cp:revision>19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