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BF2" w:rsidRPr="009739BB" w:rsidRDefault="00006BF2" w:rsidP="009739BB">
      <w:pPr>
        <w:pStyle w:val="Basmala"/>
      </w:pPr>
      <w:bookmarkStart w:id="0" w:name="_GoBack"/>
      <w:bookmarkEnd w:id="0"/>
      <w:r w:rsidRPr="009739BB">
        <w:rPr>
          <w:rtl/>
        </w:rPr>
        <w:t xml:space="preserve">بِسۡمِ </w:t>
      </w:r>
      <w:r w:rsidRPr="009739BB">
        <w:rPr>
          <w:rFonts w:hint="cs"/>
          <w:rtl/>
        </w:rPr>
        <w:t>ٱللَّهِ</w:t>
      </w:r>
      <w:r w:rsidRPr="009739BB">
        <w:rPr>
          <w:rtl/>
        </w:rPr>
        <w:t xml:space="preserve"> </w:t>
      </w:r>
      <w:r w:rsidRPr="009739BB">
        <w:rPr>
          <w:rFonts w:hint="cs"/>
          <w:rtl/>
        </w:rPr>
        <w:t>ٱلرَّحۡمَٰنِ</w:t>
      </w:r>
      <w:r w:rsidRPr="009739BB">
        <w:rPr>
          <w:rtl/>
        </w:rPr>
        <w:t xml:space="preserve"> </w:t>
      </w:r>
      <w:r w:rsidRPr="009739BB">
        <w:rPr>
          <w:rFonts w:hint="cs"/>
          <w:rtl/>
        </w:rPr>
        <w:t>ٱلرَّحِيمِ</w:t>
      </w:r>
    </w:p>
    <w:p w:rsidR="00A9230A" w:rsidRPr="009739BB" w:rsidRDefault="004F19E5" w:rsidP="009739BB">
      <w:pPr>
        <w:pStyle w:val="HeaderL1"/>
      </w:pPr>
      <w:r w:rsidRPr="009739BB">
        <w:t>Уточнение</w:t>
      </w:r>
    </w:p>
    <w:p w:rsidR="00006BF2" w:rsidRPr="000B3F83" w:rsidRDefault="00006BF2" w:rsidP="000B3F83">
      <w:pPr>
        <w:pStyle w:val="Author"/>
        <w:rPr>
          <w:lang w:val="en-US"/>
        </w:rPr>
      </w:pPr>
      <w:proofErr w:type="spellStart"/>
      <w:r w:rsidRPr="002D4E32">
        <w:t>Саир</w:t>
      </w:r>
      <w:proofErr w:type="spellEnd"/>
      <w:r w:rsidRPr="002D4E32">
        <w:t xml:space="preserve"> </w:t>
      </w:r>
      <w:proofErr w:type="spellStart"/>
      <w:r w:rsidRPr="002D4E32">
        <w:t>Саляма</w:t>
      </w:r>
      <w:proofErr w:type="spellEnd"/>
      <w:r w:rsidR="000B3F83">
        <w:rPr>
          <w:lang w:val="en-US"/>
        </w:rPr>
        <w:t xml:space="preserve"> (</w:t>
      </w:r>
      <w:r w:rsidR="000B3F83" w:rsidRPr="002D4E32">
        <w:t>Абу Малик</w:t>
      </w:r>
      <w:r w:rsidR="000B3F83">
        <w:rPr>
          <w:lang w:val="en-US"/>
        </w:rPr>
        <w:t>)</w:t>
      </w:r>
    </w:p>
    <w:p w:rsidR="000B3F83" w:rsidRPr="000B3F83" w:rsidRDefault="000B3F83" w:rsidP="000B3F83">
      <w:pPr>
        <w:pStyle w:val="MainText"/>
        <w:rPr>
          <w:lang w:val="en-US"/>
        </w:rPr>
      </w:pPr>
    </w:p>
    <w:p w:rsidR="00A9230A" w:rsidRPr="002D4E32" w:rsidRDefault="004F19E5" w:rsidP="000B3F83">
      <w:pPr>
        <w:pStyle w:val="MainText"/>
      </w:pPr>
      <w:r w:rsidRPr="002D4E32">
        <w:t xml:space="preserve">Уважаемые читатели, нам поступило от уважаемого брата </w:t>
      </w:r>
      <w:proofErr w:type="spellStart"/>
      <w:r w:rsidRPr="002D4E32">
        <w:t>Саира</w:t>
      </w:r>
      <w:proofErr w:type="spellEnd"/>
      <w:r w:rsidRPr="002D4E32">
        <w:t xml:space="preserve"> </w:t>
      </w:r>
      <w:proofErr w:type="spellStart"/>
      <w:r w:rsidRPr="002D4E32">
        <w:t>Саламы</w:t>
      </w:r>
      <w:proofErr w:type="spellEnd"/>
      <w:r w:rsidRPr="002D4E32">
        <w:t xml:space="preserve"> (Абу Малика), да вознаградит его Аллах благом, следующее:</w:t>
      </w:r>
    </w:p>
    <w:p w:rsidR="00A9230A" w:rsidRPr="002D4E32" w:rsidRDefault="004F19E5" w:rsidP="009739BB">
      <w:pPr>
        <w:pStyle w:val="MainText"/>
      </w:pPr>
      <w:r w:rsidRPr="002D4E32">
        <w:t>Мир вам, милость Аллаха и Его благословение.</w:t>
      </w:r>
    </w:p>
    <w:p w:rsidR="00A9230A" w:rsidRPr="002D4E32" w:rsidRDefault="004F19E5" w:rsidP="000B3F83">
      <w:pPr>
        <w:pStyle w:val="MainText"/>
      </w:pPr>
      <w:r w:rsidRPr="002D4E32">
        <w:t xml:space="preserve">Что касается моей статьи, опубликованной в журнале </w:t>
      </w:r>
      <w:r w:rsidRPr="009739BB">
        <w:t>«Аль-</w:t>
      </w:r>
      <w:proofErr w:type="spellStart"/>
      <w:r w:rsidRPr="009739BB">
        <w:t>Ва</w:t>
      </w:r>
      <w:r w:rsidR="007E2F3A" w:rsidRPr="009739BB">
        <w:t>ъ</w:t>
      </w:r>
      <w:r w:rsidRPr="009739BB">
        <w:t>й</w:t>
      </w:r>
      <w:proofErr w:type="spellEnd"/>
      <w:r w:rsidRPr="009739BB">
        <w:t>»</w:t>
      </w:r>
      <w:r w:rsidR="00006BF2">
        <w:t xml:space="preserve"> (выпуск</w:t>
      </w:r>
      <w:r w:rsidRPr="002D4E32">
        <w:t xml:space="preserve"> 474</w:t>
      </w:r>
      <w:r w:rsidR="00006BF2">
        <w:rPr>
          <w:lang w:val="en-US"/>
        </w:rPr>
        <w:t>–</w:t>
      </w:r>
      <w:r w:rsidRPr="002D4E32">
        <w:t>476) под названием: «Опровержение идеи различия астрономических зон появления луны (</w:t>
      </w:r>
      <w:proofErr w:type="spellStart"/>
      <w:r w:rsidRPr="002D4E32">
        <w:t>ихтиляф</w:t>
      </w:r>
      <w:proofErr w:type="spellEnd"/>
      <w:r w:rsidRPr="002D4E32">
        <w:t xml:space="preserve"> аль-</w:t>
      </w:r>
      <w:proofErr w:type="spellStart"/>
      <w:r w:rsidRPr="002D4E32">
        <w:t>матали</w:t>
      </w:r>
      <w:proofErr w:type="spellEnd"/>
      <w:r w:rsidRPr="002D4E32">
        <w:t>) как довода при оп</w:t>
      </w:r>
      <w:r w:rsidR="009C3F01">
        <w:t>ределении начала лунного месяца</w:t>
      </w:r>
      <w:r w:rsidRPr="002D4E32">
        <w:t>, а также того, что у каждой страны должно быть своё наблюдение за луной»,</w:t>
      </w:r>
      <w:r w:rsidR="000B3F83">
        <w:t xml:space="preserve"> — </w:t>
      </w:r>
      <w:r w:rsidRPr="002D4E32">
        <w:t>то до меня дошло замечание, из которого следует, что некоторые положения статьи были поняты как призыв к использованию астрономических расчётов для отклонения свидетельств оч</w:t>
      </w:r>
      <w:r w:rsidR="009C3F01">
        <w:t>евидцев в вопросе наблюдения за</w:t>
      </w:r>
      <w:r w:rsidRPr="002D4E32">
        <w:t xml:space="preserve"> </w:t>
      </w:r>
      <w:r w:rsidR="009C3F01">
        <w:t>м</w:t>
      </w:r>
      <w:r w:rsidRPr="002D4E32">
        <w:t>олодым месяцем.</w:t>
      </w:r>
    </w:p>
    <w:p w:rsidR="00A9230A" w:rsidRPr="002D4E32" w:rsidRDefault="004F19E5" w:rsidP="000B3F83">
      <w:pPr>
        <w:pStyle w:val="MainText"/>
      </w:pPr>
      <w:r w:rsidRPr="002D4E32">
        <w:t>Похоже, что способ изложения в статье оказался недостаточным для точного выражения моего намерения, поэтому я считаю необходимым разъяснить этот вопрос, чтобы устранить недоразумение, и приношу извинения за возможную неясность изложения.</w:t>
      </w:r>
    </w:p>
    <w:p w:rsidR="00A9230A" w:rsidRPr="002D4E32" w:rsidRDefault="004F19E5" w:rsidP="000B3F83">
      <w:pPr>
        <w:pStyle w:val="MainText"/>
      </w:pPr>
      <w:r w:rsidRPr="002D4E32">
        <w:t xml:space="preserve">Моим намерением ни в коем случае не было утверждать, что мусульманин после вынесения решения судьёй или уполномоченным органом относительно установления видения </w:t>
      </w:r>
      <w:r w:rsidR="009C3F01">
        <w:t>м</w:t>
      </w:r>
      <w:r w:rsidRPr="002D4E32">
        <w:t>олодого месяца имеет право отвергать это решение, опираясь на астрономические расчёты, или отказываться действовать в соответствии с ним, или вызывать разногласия и смуту в обществе под предлогом противоречия этого свидетельства некоторым астрономическим данным. Это вовсе не является моей позицией, и я не хотел, чтобы мои слова понимались подобным образом.</w:t>
      </w:r>
    </w:p>
    <w:p w:rsidR="00A9230A" w:rsidRPr="002D4E32" w:rsidRDefault="004F19E5" w:rsidP="000B3F83">
      <w:pPr>
        <w:pStyle w:val="MainText"/>
      </w:pPr>
      <w:r w:rsidRPr="002D4E32">
        <w:t>Напротив, я считаю и подчёркиваю, что пост, окончание поста и жертвоприношение</w:t>
      </w:r>
      <w:r w:rsidR="000B3F83">
        <w:t xml:space="preserve"> — </w:t>
      </w:r>
      <w:r w:rsidRPr="002D4E32">
        <w:t>это общественные обряды, в которых должно проявляться единство мусульман, а не их разобщённость и споры.</w:t>
      </w:r>
    </w:p>
    <w:p w:rsidR="00A9230A" w:rsidRPr="002D4E32" w:rsidRDefault="004F19E5" w:rsidP="000B3F83">
      <w:pPr>
        <w:pStyle w:val="MainText"/>
      </w:pPr>
      <w:r w:rsidRPr="002D4E32">
        <w:t>Именно поэтому в хадисе сказано:</w:t>
      </w:r>
    </w:p>
    <w:p w:rsidR="00A9230A" w:rsidRPr="002D4E32" w:rsidRDefault="004F19E5" w:rsidP="000B3F83">
      <w:pPr>
        <w:pStyle w:val="ARHadith"/>
      </w:pPr>
      <w:r w:rsidRPr="002D4E32">
        <w:rPr>
          <w:rtl/>
        </w:rPr>
        <w:t>الصَّوْمُ يَوْمَ تَصُومُونَ، وَالْفِطْرُ يَوْمَ تُفْطِرُونَ، وَالْأَضْحَى يَوْمَ تُضَحُّونَ</w:t>
      </w:r>
    </w:p>
    <w:p w:rsidR="00A9230A" w:rsidRPr="002D4E32" w:rsidRDefault="004F19E5" w:rsidP="000B3F83">
      <w:pPr>
        <w:pStyle w:val="MainTextNoIndent"/>
      </w:pPr>
      <w:r w:rsidRPr="000B3F83">
        <w:rPr>
          <w:rStyle w:val="RUHadith"/>
        </w:rPr>
        <w:t>«Пост</w:t>
      </w:r>
      <w:r w:rsidR="000B3F83">
        <w:rPr>
          <w:rStyle w:val="RUHadith"/>
        </w:rPr>
        <w:t xml:space="preserve"> — </w:t>
      </w:r>
      <w:r w:rsidRPr="000B3F83">
        <w:rPr>
          <w:rStyle w:val="RUHadith"/>
        </w:rPr>
        <w:t>в тот день, когда вы поститесь, разговение</w:t>
      </w:r>
      <w:r w:rsidR="000B3F83">
        <w:rPr>
          <w:rStyle w:val="RUHadith"/>
        </w:rPr>
        <w:t xml:space="preserve"> — </w:t>
      </w:r>
      <w:r w:rsidRPr="000B3F83">
        <w:rPr>
          <w:rStyle w:val="RUHadith"/>
        </w:rPr>
        <w:t>тогда, когда вы разговляетесь, и жертвоприношение</w:t>
      </w:r>
      <w:r w:rsidR="000B3F83">
        <w:rPr>
          <w:rStyle w:val="RUHadith"/>
        </w:rPr>
        <w:t xml:space="preserve"> — </w:t>
      </w:r>
      <w:r w:rsidRPr="000B3F83">
        <w:rPr>
          <w:rStyle w:val="RUHadith"/>
        </w:rPr>
        <w:t>тогда, когда вы совершаете жертвоприношение»</w:t>
      </w:r>
      <w:r w:rsidR="002D4E32" w:rsidRPr="002D4E32">
        <w:t>.</w:t>
      </w:r>
      <w:r w:rsidR="00006BF2">
        <w:rPr>
          <w:lang w:val="en-US"/>
        </w:rPr>
        <w:t xml:space="preserve"> </w:t>
      </w:r>
      <w:r w:rsidRPr="002D4E32">
        <w:t>Этот хадис указывает на важность единства мусульман в этих обрядах и на то, что решение в этих вопросах относится к той стороне, которая уполномочена рассматривать их и объявлять об этом Умме.</w:t>
      </w:r>
    </w:p>
    <w:p w:rsidR="00A9230A" w:rsidRPr="002D4E32" w:rsidRDefault="004F19E5" w:rsidP="000B3F83">
      <w:pPr>
        <w:pStyle w:val="MainText"/>
      </w:pPr>
      <w:r w:rsidRPr="002D4E32">
        <w:t xml:space="preserve">И если решение вынесено теми, кто обладает полномочиями вынесения решения или властью, либо органом, ответственным за наблюдение за </w:t>
      </w:r>
      <w:r w:rsidR="00024B0B">
        <w:t>м</w:t>
      </w:r>
      <w:r w:rsidRPr="002D4E32">
        <w:t>олодым месяцем и проверку свидетельств, то мусульманину не следует противоречить этому решению под предлогом расчётов или иных доводов, которые ведут к смуте среди людей и расколу их единства.</w:t>
      </w:r>
    </w:p>
    <w:p w:rsidR="00A9230A" w:rsidRPr="002D4E32" w:rsidRDefault="004F19E5" w:rsidP="000B3F83">
      <w:pPr>
        <w:pStyle w:val="MainText"/>
      </w:pPr>
      <w:r w:rsidRPr="002D4E32">
        <w:t>Целью статьи вовсе не было перейти от смуты, вызванной разногласиями мусульман из-за существующих политических границ и различий между странами в начале и окончании поста, к новой смуте</w:t>
      </w:r>
      <w:r w:rsidR="000B3F83">
        <w:t xml:space="preserve"> — </w:t>
      </w:r>
      <w:r w:rsidRPr="002D4E32">
        <w:t>на этот раз из-за разногласий в вопросе принятия или непринятия астрономических расчётов, либо из-за различий в том, к каким источникам в этом вопросе обращаться. Напротив, цель заключалась в устранении причин разобщённости, а не в открытии новой двери для неё.</w:t>
      </w:r>
    </w:p>
    <w:p w:rsidR="00A9230A" w:rsidRPr="002D4E32" w:rsidRDefault="004F19E5" w:rsidP="000B3F83">
      <w:pPr>
        <w:pStyle w:val="MainText"/>
      </w:pPr>
      <w:r w:rsidRPr="002D4E32">
        <w:t xml:space="preserve">При полном понимании того, что астрономические расчёты не являются шариатским основанием для установления факта наблюдения, влекущего за собой обязательность поста </w:t>
      </w:r>
      <w:r w:rsidRPr="002D4E32">
        <w:lastRenderedPageBreak/>
        <w:t>или разговения, следует отметить, что обсуждение свидетельских показаний может вестись лишь в рамках самого факта наблюдения, а не в рамках астрономических терминов и теорий.</w:t>
      </w:r>
    </w:p>
    <w:p w:rsidR="00A9230A" w:rsidRPr="002D4E32" w:rsidRDefault="00024B0B" w:rsidP="000B3F83">
      <w:pPr>
        <w:pStyle w:val="MainText"/>
      </w:pPr>
      <w:r>
        <w:t>Так</w:t>
      </w:r>
      <w:r w:rsidR="004F19E5" w:rsidRPr="002D4E32">
        <w:t xml:space="preserve"> у свидетеля можно уточнить, например, о состоянии его зрения, о том, в каком виде он увидел небесное тело: видел ли он его в форме полумесяца, круга или иной формы; с какой стороны был изгиб; когда именно он его увидел</w:t>
      </w:r>
      <w:r w:rsidR="000B3F83">
        <w:t xml:space="preserve"> — </w:t>
      </w:r>
      <w:r w:rsidR="004F19E5" w:rsidRPr="002D4E32">
        <w:t>до заката или после; видел ли он его один или вместе с другими, и тому подобные вопросы, относящиеся непосредственно к описанию самого наблюдения. Всё это помогает судье или уполномоченному органу удостовериться в достоверности свидетельства.</w:t>
      </w:r>
    </w:p>
    <w:p w:rsidR="00A9230A" w:rsidRPr="002D4E32" w:rsidRDefault="004F19E5" w:rsidP="000B3F83">
      <w:pPr>
        <w:pStyle w:val="MainText"/>
      </w:pPr>
      <w:r w:rsidRPr="002D4E32">
        <w:t>Что же касается построения опроса свидетеля на сугубо астрономических вопросах</w:t>
      </w:r>
      <w:r w:rsidR="000B3F83">
        <w:t xml:space="preserve"> — </w:t>
      </w:r>
      <w:r w:rsidRPr="002D4E32">
        <w:t>таких как: было ли наблюдение до Соединения (рождение) или после него, какова величина Элонгации, каков Предельный угол Данжона и тому подобные технические термины,</w:t>
      </w:r>
      <w:r w:rsidR="000B3F83">
        <w:t xml:space="preserve"> — </w:t>
      </w:r>
      <w:r w:rsidRPr="002D4E32">
        <w:t xml:space="preserve">то это не относится к компетенции обычных свидетелей и не является той основой, с которой </w:t>
      </w:r>
      <w:r w:rsidR="00024B0B">
        <w:t>Ш</w:t>
      </w:r>
      <w:r w:rsidRPr="002D4E32">
        <w:t xml:space="preserve">ариат связывает установление начала поста или его окончания. Принятие или отклонение свидетельства относится к полномочиям судьи или органа, наделённого </w:t>
      </w:r>
      <w:r w:rsidR="00024B0B">
        <w:t>Ш</w:t>
      </w:r>
      <w:r w:rsidRPr="002D4E32">
        <w:t>ариатом правом рассматривать эти вопросы, исходя из того, что представляется ему достоверным после проверки и тщательного разбирательства.</w:t>
      </w:r>
    </w:p>
    <w:p w:rsidR="00A9230A" w:rsidRPr="00024B0B" w:rsidRDefault="004F19E5" w:rsidP="000B3F83">
      <w:pPr>
        <w:pStyle w:val="MainText"/>
      </w:pPr>
      <w:r w:rsidRPr="00024B0B">
        <w:t>Шариатские доводы в этом вопросе ясны. Достаточно привести слова Пророка</w:t>
      </w:r>
      <w:r w:rsidR="00024B0B" w:rsidRPr="00024B0B">
        <w:rPr>
          <w:rtl/>
          <w:cs/>
        </w:rPr>
        <w:t xml:space="preserve"> (</w:t>
      </w:r>
      <w:r w:rsidR="00024B0B" w:rsidRPr="00024B0B">
        <w:rPr>
          <w:cs/>
        </w:rPr>
        <w:t>с</w:t>
      </w:r>
      <w:r w:rsidR="00024B0B" w:rsidRPr="00024B0B">
        <w:rPr>
          <w:rtl/>
          <w:cs/>
        </w:rPr>
        <w:t>.</w:t>
      </w:r>
      <w:r w:rsidR="00024B0B" w:rsidRPr="00024B0B">
        <w:rPr>
          <w:cs/>
        </w:rPr>
        <w:t>а</w:t>
      </w:r>
      <w:r w:rsidR="00024B0B" w:rsidRPr="00024B0B">
        <w:rPr>
          <w:rtl/>
          <w:cs/>
        </w:rPr>
        <w:t>.</w:t>
      </w:r>
      <w:r w:rsidR="00024B0B" w:rsidRPr="00024B0B">
        <w:rPr>
          <w:cs/>
        </w:rPr>
        <w:t>с</w:t>
      </w:r>
      <w:r w:rsidR="00024B0B" w:rsidRPr="00024B0B">
        <w:rPr>
          <w:rtl/>
          <w:cs/>
        </w:rPr>
        <w:t>.)</w:t>
      </w:r>
      <w:r w:rsidRPr="00024B0B">
        <w:t>:</w:t>
      </w:r>
    </w:p>
    <w:p w:rsidR="00A9230A" w:rsidRPr="002D4E32" w:rsidRDefault="004F19E5" w:rsidP="000B3F83">
      <w:pPr>
        <w:pStyle w:val="ARHadith"/>
      </w:pPr>
      <w:r w:rsidRPr="002D4E32">
        <w:rPr>
          <w:rtl/>
        </w:rPr>
        <w:t>صُومُوا لِرُؤْيَتِهِ وَأَفْطِرُوا لِرُؤْيَتِهِ، فَإِنْ غُبِّيَ عَلَيْكُمْ فَأَكْمِلُوا عِدَّةَ شَعْبَانَ ثَلَاثِينَ</w:t>
      </w:r>
    </w:p>
    <w:p w:rsidR="00A9230A" w:rsidRPr="002D4E32" w:rsidRDefault="004F19E5" w:rsidP="000B3F83">
      <w:pPr>
        <w:pStyle w:val="MainTextNoIndent"/>
      </w:pPr>
      <w:r w:rsidRPr="000B3F83">
        <w:rPr>
          <w:rStyle w:val="RUHadith"/>
        </w:rPr>
        <w:t xml:space="preserve">«Поститесь при его видении и завершайте пост при его видении. Если же он скрыт от вас, доведите число </w:t>
      </w:r>
      <w:proofErr w:type="spellStart"/>
      <w:r w:rsidRPr="000B3F83">
        <w:rPr>
          <w:rStyle w:val="RUHadith"/>
        </w:rPr>
        <w:t>Шаабана</w:t>
      </w:r>
      <w:proofErr w:type="spellEnd"/>
      <w:r w:rsidRPr="000B3F83">
        <w:rPr>
          <w:rStyle w:val="RUHadith"/>
        </w:rPr>
        <w:t xml:space="preserve"> до тридцати (дней)»</w:t>
      </w:r>
      <w:r w:rsidRPr="00024B0B">
        <w:t>.</w:t>
      </w:r>
    </w:p>
    <w:p w:rsidR="00A9230A" w:rsidRPr="002D4E32" w:rsidRDefault="004F19E5" w:rsidP="000B3F83">
      <w:pPr>
        <w:pStyle w:val="MainText"/>
      </w:pPr>
      <w:r w:rsidRPr="002D4E32">
        <w:t xml:space="preserve">Тем самым Пророк </w:t>
      </w:r>
      <w:r w:rsidR="00024B0B" w:rsidRPr="00024B0B">
        <w:rPr>
          <w:rtl/>
          <w:cs/>
        </w:rPr>
        <w:t>(</w:t>
      </w:r>
      <w:r w:rsidR="00024B0B" w:rsidRPr="00024B0B">
        <w:rPr>
          <w:cs/>
        </w:rPr>
        <w:t>с</w:t>
      </w:r>
      <w:r w:rsidR="00024B0B" w:rsidRPr="00024B0B">
        <w:rPr>
          <w:rtl/>
          <w:cs/>
        </w:rPr>
        <w:t>.</w:t>
      </w:r>
      <w:r w:rsidR="00024B0B" w:rsidRPr="00024B0B">
        <w:rPr>
          <w:cs/>
        </w:rPr>
        <w:t>а</w:t>
      </w:r>
      <w:r w:rsidR="00024B0B" w:rsidRPr="00024B0B">
        <w:rPr>
          <w:rtl/>
          <w:cs/>
        </w:rPr>
        <w:t>.</w:t>
      </w:r>
      <w:r w:rsidR="00024B0B" w:rsidRPr="00024B0B">
        <w:rPr>
          <w:cs/>
        </w:rPr>
        <w:t>с</w:t>
      </w:r>
      <w:r w:rsidR="00024B0B" w:rsidRPr="00024B0B">
        <w:rPr>
          <w:rtl/>
          <w:cs/>
        </w:rPr>
        <w:t>.)</w:t>
      </w:r>
      <w:r w:rsidRPr="002D4E32">
        <w:t xml:space="preserve"> связал постановление с фактом наблюдения, а в случае невозможности наблюдения из-за облачности или иных причин</w:t>
      </w:r>
      <w:r w:rsidR="000B3F83">
        <w:t xml:space="preserve"> — </w:t>
      </w:r>
      <w:r w:rsidRPr="002D4E32">
        <w:t xml:space="preserve">с доведением месяца до тридцати дней. При том, что сам факт существования полумесяца за облаками может быть известен посредством расчётов, однако </w:t>
      </w:r>
      <w:r w:rsidR="00D4501B">
        <w:t>Ш</w:t>
      </w:r>
      <w:r w:rsidRPr="002D4E32">
        <w:t>ариат не сделал это расчётное знание основанием для вынесения решения. Напротив, решение привязано либо к наблюдению, либо к завершению установленного срока при невозможности наблюдения.</w:t>
      </w:r>
    </w:p>
    <w:p w:rsidR="00A9230A" w:rsidRPr="002D4E32" w:rsidRDefault="004F19E5" w:rsidP="000B3F83">
      <w:pPr>
        <w:pStyle w:val="MainText"/>
      </w:pPr>
      <w:r w:rsidRPr="002D4E32">
        <w:t>Исходя из этого, всё, что в статье могло быть понято как призыв опираться на астрономические расчёты при отклонении свидетельств, либо как утверждение, что наблюдение полумесяца является второстепенным и необязательным, либо как предпочтение расчётов над тем, что устанавливается уполномоченным органом, рассматривающим вопросы появления полумесяца,</w:t>
      </w:r>
      <w:r w:rsidR="000B3F83">
        <w:t xml:space="preserve"> — </w:t>
      </w:r>
      <w:r w:rsidRPr="002D4E32">
        <w:t>не соответствует моему намерению. Любая формулировка, которая могла создать подобное впечатление, подлежит отмене, и я приношу за это искренние извинения.</w:t>
      </w:r>
    </w:p>
    <w:p w:rsidR="00A9230A" w:rsidRPr="002D4E32" w:rsidRDefault="004F19E5" w:rsidP="000B3F83">
      <w:pPr>
        <w:pStyle w:val="MainText"/>
      </w:pPr>
      <w:r w:rsidRPr="002D4E32">
        <w:t xml:space="preserve">Я ещё раз приношу свои извинения за эту неточность в выражении и за недостаточность разъяснения, </w:t>
      </w:r>
      <w:r w:rsidR="00D4501B">
        <w:t>а также</w:t>
      </w:r>
      <w:r w:rsidRPr="002D4E32">
        <w:t xml:space="preserve"> прошу Аллаха, Милостивого и Милосердного, чтобы Он сделал нас и наших братьев из числа тех, кто строго придерживается истины, искренне следует ей и не боится упрёков на пути Аллаха. И прошу Его объединить мусульман на едином слове и сплотить их ряды под знаменем Ислама</w:t>
      </w:r>
      <w:r w:rsidR="000B3F83">
        <w:t xml:space="preserve"> — </w:t>
      </w:r>
      <w:r w:rsidRPr="002D4E32">
        <w:t>знаменем: «Нет божества, кроме Аллаха, и Мухаммад</w:t>
      </w:r>
      <w:r w:rsidR="000B3F83">
        <w:t xml:space="preserve"> — </w:t>
      </w:r>
      <w:r w:rsidRPr="002D4E32">
        <w:t>Посланник Аллаха».</w:t>
      </w:r>
    </w:p>
    <w:p w:rsidR="00A9230A" w:rsidRPr="002D4E32" w:rsidRDefault="004F19E5" w:rsidP="000B3F83">
      <w:pPr>
        <w:pStyle w:val="MainText"/>
      </w:pPr>
      <w:r w:rsidRPr="002D4E32">
        <w:t>И Аллах</w:t>
      </w:r>
      <w:r w:rsidR="000B3F83">
        <w:t xml:space="preserve"> — </w:t>
      </w:r>
      <w:r w:rsidRPr="002D4E32">
        <w:t>Слышащий, Отвечающий на мольбы.</w:t>
      </w:r>
    </w:p>
    <w:sectPr w:rsidR="00A9230A" w:rsidRPr="002D4E32" w:rsidSect="00006BF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0A"/>
    <w:rsid w:val="00006BF2"/>
    <w:rsid w:val="00024B0B"/>
    <w:rsid w:val="000B3F83"/>
    <w:rsid w:val="001E0E90"/>
    <w:rsid w:val="002D4E32"/>
    <w:rsid w:val="004F19E5"/>
    <w:rsid w:val="00720DA9"/>
    <w:rsid w:val="007E2F3A"/>
    <w:rsid w:val="00811BA4"/>
    <w:rsid w:val="009739BB"/>
    <w:rsid w:val="009C3F01"/>
    <w:rsid w:val="00A9230A"/>
    <w:rsid w:val="00D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FA8D7-C6EB-4B58-88DE-0FD379A4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006BF2"/>
    <w:pPr>
      <w:suppressAutoHyphens w:val="0"/>
      <w:bidi/>
      <w:jc w:val="center"/>
    </w:pPr>
    <w:rPr>
      <w:rFonts w:ascii="KFGQPC Uthmanic Script HAFS" w:eastAsia="Times New Roman" w:hAnsi="KFGQPC Uthmanic Script HAFS" w:cs="KFGQPC Uthmanic Script HAFS"/>
      <w:kern w:val="0"/>
      <w:sz w:val="28"/>
      <w:szCs w:val="28"/>
      <w:lang w:val="en-US" w:eastAsia="ru-RU" w:bidi="ar-SA"/>
    </w:rPr>
  </w:style>
  <w:style w:type="paragraph" w:customStyle="1" w:styleId="ARHadith">
    <w:name w:val="AR_Hadith"/>
    <w:rsid w:val="00006BF2"/>
    <w:pPr>
      <w:suppressAutoHyphens w:val="0"/>
      <w:bidi/>
      <w:jc w:val="center"/>
    </w:pPr>
    <w:rPr>
      <w:rFonts w:ascii="Scheherazade" w:eastAsia="Times New Roman" w:hAnsi="Scheherazade" w:cs="Scheherazade"/>
      <w:kern w:val="0"/>
      <w:sz w:val="28"/>
      <w:szCs w:val="28"/>
      <w:lang w:val="en-US" w:eastAsia="ru-RU" w:bidi="ar-SA"/>
    </w:rPr>
  </w:style>
  <w:style w:type="character" w:customStyle="1" w:styleId="ARInText">
    <w:name w:val="AR_In.Text"/>
    <w:uiPriority w:val="1"/>
    <w:rsid w:val="00006BF2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006BF2"/>
    <w:pPr>
      <w:suppressAutoHyphens w:val="0"/>
      <w:ind w:firstLine="709"/>
      <w:jc w:val="both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customStyle="1" w:styleId="Author">
    <w:name w:val="Author"/>
    <w:basedOn w:val="MainText"/>
    <w:next w:val="MainText"/>
    <w:rsid w:val="00006BF2"/>
    <w:rPr>
      <w:bCs/>
      <w:i/>
    </w:rPr>
  </w:style>
  <w:style w:type="paragraph" w:customStyle="1" w:styleId="Basmala">
    <w:name w:val="Basmala"/>
    <w:basedOn w:val="a"/>
    <w:rsid w:val="00006BF2"/>
    <w:pPr>
      <w:suppressAutoHyphens w:val="0"/>
      <w:bidi/>
      <w:spacing w:after="200" w:line="360" w:lineRule="auto"/>
      <w:jc w:val="center"/>
    </w:pPr>
    <w:rPr>
      <w:rFonts w:ascii="KFGQPC Uthmanic Script HAFS" w:eastAsiaTheme="minorHAnsi" w:hAnsi="KFGQPC Uthmanic Script HAFS" w:cs="KFGQPC Uthmanic Script HAFS"/>
      <w:kern w:val="0"/>
      <w:sz w:val="28"/>
      <w:szCs w:val="28"/>
      <w:lang w:eastAsia="en-US" w:bidi="ar-SA"/>
    </w:rPr>
  </w:style>
  <w:style w:type="character" w:customStyle="1" w:styleId="Bold">
    <w:name w:val="Bold"/>
    <w:rsid w:val="00006BF2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006BF2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006BF2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006BF2"/>
    <w:pPr>
      <w:suppressAutoHyphens w:val="0"/>
      <w:spacing w:after="60"/>
    </w:pPr>
    <w:rPr>
      <w:rFonts w:ascii="Times New Roman" w:eastAsia="Times New Roman" w:hAnsi="Times New Roman" w:cs="Times New Roman"/>
      <w:kern w:val="0"/>
      <w:sz w:val="16"/>
      <w:szCs w:val="16"/>
      <w:lang w:eastAsia="en-US" w:bidi="ar-AE"/>
    </w:rPr>
  </w:style>
  <w:style w:type="paragraph" w:customStyle="1" w:styleId="HeaderL1">
    <w:name w:val="Header_L1"/>
    <w:next w:val="a"/>
    <w:rsid w:val="00006BF2"/>
    <w:pPr>
      <w:suppressAutoHyphens w:val="0"/>
      <w:spacing w:after="480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 w:bidi="ar-SA"/>
    </w:rPr>
  </w:style>
  <w:style w:type="paragraph" w:customStyle="1" w:styleId="HeaderL2">
    <w:name w:val="Header_L2"/>
    <w:rsid w:val="00006BF2"/>
    <w:pPr>
      <w:suppressAutoHyphens w:val="0"/>
      <w:spacing w:before="240" w:after="180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US" w:bidi="ar-SA"/>
    </w:rPr>
  </w:style>
  <w:style w:type="character" w:customStyle="1" w:styleId="Italic">
    <w:name w:val="Italic"/>
    <w:rsid w:val="00006BF2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006BF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ListMarkers">
    <w:name w:val="List_Markers"/>
    <w:rsid w:val="00006BF2"/>
    <w:pPr>
      <w:numPr>
        <w:numId w:val="2"/>
      </w:numPr>
      <w:jc w:val="both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customStyle="1" w:styleId="ListNumbers">
    <w:name w:val="List_Numbers"/>
    <w:rsid w:val="00006BF2"/>
    <w:pPr>
      <w:numPr>
        <w:numId w:val="3"/>
      </w:numPr>
      <w:suppressAutoHyphens w:val="0"/>
      <w:jc w:val="both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MainTextCentered">
    <w:name w:val="MainText_Centered"/>
    <w:rsid w:val="00006BF2"/>
    <w:pPr>
      <w:suppressAutoHyphens w:val="0"/>
      <w:jc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MainTextNoIndent">
    <w:name w:val="MainText_NoIndent"/>
    <w:next w:val="MainText"/>
    <w:rsid w:val="00006BF2"/>
    <w:pPr>
      <w:suppressAutoHyphens w:val="0"/>
      <w:jc w:val="both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Quotes">
    <w:name w:val="Quotes"/>
    <w:uiPriority w:val="1"/>
    <w:rsid w:val="00006BF2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006BF2"/>
    <w:rPr>
      <w:rFonts w:ascii="Times New Roman" w:hAnsi="Times New Roman"/>
      <w:b/>
      <w:lang w:val="ru-RU"/>
    </w:rPr>
  </w:style>
  <w:style w:type="character" w:customStyle="1" w:styleId="RUHadith">
    <w:name w:val="RU_Hadith"/>
    <w:rsid w:val="00006BF2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006BF2"/>
    <w:pPr>
      <w:suppressAutoHyphens w:val="0"/>
      <w:jc w:val="center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character" w:customStyle="1" w:styleId="Subscript">
    <w:name w:val="Subscript"/>
    <w:uiPriority w:val="1"/>
    <w:rsid w:val="00006BF2"/>
    <w:rPr>
      <w:rFonts w:cs="Times New Roman"/>
      <w:vertAlign w:val="subscript"/>
    </w:rPr>
  </w:style>
  <w:style w:type="paragraph" w:customStyle="1" w:styleId="SubSubheader">
    <w:name w:val="SubSubheader"/>
    <w:rsid w:val="00006BF2"/>
    <w:pPr>
      <w:suppressAutoHyphens w:val="0"/>
      <w:autoSpaceDE w:val="0"/>
      <w:autoSpaceDN w:val="0"/>
      <w:adjustRightInd w:val="0"/>
      <w:ind w:left="709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paragraph" w:customStyle="1" w:styleId="SubSubSubheader">
    <w:name w:val="SubSubSubheader"/>
    <w:basedOn w:val="SubSubheader"/>
    <w:rsid w:val="00006BF2"/>
    <w:rPr>
      <w:i/>
      <w:iCs/>
    </w:rPr>
  </w:style>
  <w:style w:type="character" w:customStyle="1" w:styleId="Superscript">
    <w:name w:val="Superscript"/>
    <w:uiPriority w:val="1"/>
    <w:rsid w:val="00006BF2"/>
    <w:rPr>
      <w:rFonts w:cs="Times New Roman"/>
      <w:vertAlign w:val="superscript"/>
    </w:rPr>
  </w:style>
  <w:style w:type="character" w:customStyle="1" w:styleId="Underline">
    <w:name w:val="Underline"/>
    <w:uiPriority w:val="1"/>
    <w:rsid w:val="00006BF2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2026-05-04T05:41:00Z</dcterms:created>
  <dcterms:modified xsi:type="dcterms:W3CDTF">2026-08-13T13:34:00Z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2026-04-22T12:54:47Z</dcterms:created>
  <dc:creator/>
  <dc:description/>
  <dc:language>ru-RU</dc:language>
  <cp:lastModifiedBy/>
  <dcterms:modified xsi:type="dcterms:W3CDTF">2026-05-01T11:17:15Z</dcterms:modified>
  <cp:revision>24</cp:revision>
  <dc:subject/>
  <dc:title/>
</cp:coreProperties>
</file>