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osition w:val="0"/>
          <w:sz w:val="22"/>
          <w:vertAlign w:val="baseline"/>
        </w:rPr>
      </w:pPr>
      <w:r>
        <w:rPr>
          <w:b/>
          <w:bCs/>
          <w:position w:val="0"/>
          <w:sz w:val="24"/>
          <w:vertAlign w:val="baseline"/>
        </w:rPr>
        <w:t>С именем Аллаха, Милостивого и Милосердного</w:t>
      </w:r>
    </w:p>
    <w:p>
      <w:pPr>
        <w:pStyle w:val="Normal"/>
        <w:jc w:val="center"/>
        <w:rPr>
          <w:position w:val="0"/>
          <w:sz w:val="22"/>
          <w:vertAlign w:val="baseline"/>
        </w:rPr>
      </w:pPr>
      <w:r>
        <w:rPr>
          <w:b/>
          <w:bCs/>
          <w:position w:val="0"/>
          <w:sz w:val="24"/>
          <w:vertAlign w:val="baseline"/>
        </w:rPr>
        <w:t xml:space="preserve">Серия ответов учёного Ата ибн Халиля Абу ар-Рашты, амира Хизб ут-Тахрир, </w:t>
      </w:r>
    </w:p>
    <w:p>
      <w:pPr>
        <w:pStyle w:val="Normal"/>
        <w:jc w:val="center"/>
        <w:rPr>
          <w:position w:val="0"/>
          <w:sz w:val="22"/>
          <w:vertAlign w:val="baseline"/>
        </w:rPr>
      </w:pPr>
      <w:r>
        <w:rPr>
          <w:b/>
          <w:bCs/>
          <w:position w:val="0"/>
          <w:sz w:val="24"/>
          <w:vertAlign w:val="baseline"/>
        </w:rPr>
        <w:t>на вопросы посетителей его страницы в «Фейсбук», раздел «Фикх»</w:t>
      </w:r>
    </w:p>
    <w:p>
      <w:pPr>
        <w:pStyle w:val="Normal"/>
        <w:jc w:val="center"/>
        <w:rPr>
          <w:position w:val="0"/>
          <w:sz w:val="22"/>
          <w:vertAlign w:val="baseline"/>
        </w:rPr>
      </w:pPr>
      <w:r>
        <w:rPr>
          <w:b/>
          <w:bCs/>
          <w:position w:val="0"/>
          <w:sz w:val="24"/>
          <w:vertAlign w:val="baseline"/>
        </w:rPr>
        <w:t>Ответ на вопрос:</w:t>
      </w:r>
    </w:p>
    <w:p>
      <w:pPr>
        <w:pStyle w:val="Normal"/>
        <w:jc w:val="center"/>
        <w:rPr>
          <w:position w:val="0"/>
          <w:sz w:val="22"/>
          <w:vertAlign w:val="baseline"/>
        </w:rPr>
      </w:pPr>
      <w:r>
        <w:rPr>
          <w:b/>
          <w:bCs/>
          <w:position w:val="0"/>
          <w:sz w:val="24"/>
          <w:vertAlign w:val="baseline"/>
        </w:rPr>
        <w:t>Что подразумевается под тальфиком и следованием мазхабам</w:t>
      </w:r>
    </w:p>
    <w:p>
      <w:pPr>
        <w:pStyle w:val="Normal"/>
        <w:jc w:val="center"/>
        <w:rPr>
          <w:position w:val="0"/>
          <w:sz w:val="22"/>
          <w:vertAlign w:val="baseline"/>
        </w:rPr>
      </w:pPr>
      <w:r>
        <w:rPr>
          <w:b/>
          <w:bCs/>
          <w:position w:val="0"/>
          <w:sz w:val="24"/>
          <w:vertAlign w:val="baseline"/>
        </w:rPr>
        <w:t>Адресовано Abu Alan</w:t>
      </w:r>
    </w:p>
    <w:p>
      <w:pPr>
        <w:pStyle w:val="Normal"/>
        <w:ind w:firstLine="567"/>
        <w:jc w:val="both"/>
        <w:rPr>
          <w:position w:val="0"/>
          <w:sz w:val="22"/>
          <w:vertAlign w:val="baseline"/>
        </w:rPr>
      </w:pPr>
      <w:r>
        <w:rPr>
          <w:b/>
          <w:bCs/>
          <w:position w:val="0"/>
          <w:sz w:val="24"/>
          <w:u w:val="single"/>
          <w:vertAlign w:val="baseline"/>
        </w:rPr>
        <w:t>Вопрос:</w:t>
      </w:r>
    </w:p>
    <w:p>
      <w:pPr>
        <w:pStyle w:val="Normal"/>
        <w:ind w:firstLine="567"/>
        <w:jc w:val="both"/>
        <w:rPr>
          <w:position w:val="0"/>
          <w:sz w:val="22"/>
          <w:vertAlign w:val="baseline"/>
        </w:rPr>
      </w:pPr>
      <w:r>
        <w:rPr>
          <w:position w:val="0"/>
          <w:sz w:val="22"/>
          <w:vertAlign w:val="baseline"/>
        </w:rPr>
        <w:t>Ассаляму алейкум ва рахматуллахи ва баракятуху!</w:t>
      </w:r>
    </w:p>
    <w:p>
      <w:pPr>
        <w:pStyle w:val="Normal"/>
        <w:ind w:firstLine="567"/>
        <w:jc w:val="both"/>
        <w:rPr>
          <w:position w:val="0"/>
          <w:sz w:val="22"/>
          <w:vertAlign w:val="baseline"/>
        </w:rPr>
      </w:pPr>
      <w:r>
        <w:rPr>
          <w:position w:val="0"/>
          <w:sz w:val="22"/>
          <w:vertAlign w:val="baseline"/>
        </w:rPr>
        <w:t xml:space="preserve">Прежде всего прошу Всевышнего Аллаха даровать Вам здоровье, хранить Вас и Вашу семью. </w:t>
      </w:r>
    </w:p>
    <w:p>
      <w:pPr>
        <w:pStyle w:val="Normal"/>
        <w:ind w:firstLine="567"/>
        <w:jc w:val="both"/>
        <w:rPr>
          <w:position w:val="0"/>
          <w:sz w:val="22"/>
          <w:vertAlign w:val="baseline"/>
        </w:rPr>
      </w:pPr>
      <w:r>
        <w:rPr>
          <w:position w:val="0"/>
          <w:sz w:val="22"/>
          <w:vertAlign w:val="baseline"/>
        </w:rPr>
        <w:t>И я хотел бы задать следующие вопросы:</w:t>
      </w:r>
    </w:p>
    <w:p>
      <w:pPr>
        <w:pStyle w:val="Normal"/>
        <w:numPr>
          <w:ilvl w:val="0"/>
          <w:numId w:val="1"/>
        </w:numPr>
        <w:tabs>
          <w:tab w:val="clear" w:pos="708"/>
        </w:tabs>
        <w:ind w:firstLine="414"/>
        <w:jc w:val="both"/>
        <w:rPr>
          <w:position w:val="0"/>
          <w:sz w:val="22"/>
          <w:vertAlign w:val="baseline"/>
        </w:rPr>
      </w:pPr>
      <w:r>
        <w:rPr>
          <w:position w:val="0"/>
          <w:sz w:val="22"/>
          <w:vertAlign w:val="baseline"/>
        </w:rPr>
        <w:t>Обязательно ли мусульманам придерживаться определённого мазхаба, или это не является обязательным?</w:t>
      </w:r>
    </w:p>
    <w:p>
      <w:pPr>
        <w:pStyle w:val="Normal"/>
        <w:numPr>
          <w:ilvl w:val="0"/>
          <w:numId w:val="1"/>
        </w:numPr>
        <w:ind w:firstLine="414"/>
        <w:jc w:val="both"/>
        <w:rPr>
          <w:position w:val="0"/>
          <w:sz w:val="22"/>
          <w:vertAlign w:val="baseline"/>
        </w:rPr>
      </w:pPr>
      <w:r>
        <w:rPr>
          <w:position w:val="0"/>
          <w:sz w:val="22"/>
          <w:vertAlign w:val="baseline"/>
        </w:rPr>
        <w:t>Что подразумевается под словом «тальфик»? Считается ли человек, который не придерживается определённого мазхаба, совершающим «тальфик»?</w:t>
      </w:r>
    </w:p>
    <w:p>
      <w:pPr>
        <w:pStyle w:val="Normal"/>
        <w:numPr>
          <w:ilvl w:val="0"/>
          <w:numId w:val="1"/>
        </w:numPr>
        <w:ind w:firstLine="414"/>
        <w:jc w:val="both"/>
        <w:rPr>
          <w:position w:val="0"/>
          <w:sz w:val="22"/>
          <w:vertAlign w:val="baseline"/>
        </w:rPr>
      </w:pPr>
      <w:r>
        <w:rPr>
          <w:position w:val="0"/>
          <w:sz w:val="22"/>
          <w:vertAlign w:val="baseline"/>
        </w:rPr>
        <w:t>Каково мнение Хизб ут-Тахрир по этому вопросу?</w:t>
      </w:r>
    </w:p>
    <w:p>
      <w:pPr>
        <w:pStyle w:val="Normal"/>
        <w:numPr>
          <w:ilvl w:val="0"/>
          <w:numId w:val="1"/>
        </w:numPr>
        <w:ind w:firstLine="414"/>
        <w:jc w:val="both"/>
        <w:rPr>
          <w:position w:val="0"/>
          <w:sz w:val="22"/>
          <w:vertAlign w:val="baseline"/>
        </w:rPr>
      </w:pPr>
      <w:r>
        <w:rPr>
          <w:position w:val="0"/>
          <w:sz w:val="22"/>
          <w:vertAlign w:val="baseline"/>
        </w:rPr>
        <w:t>Я обсуждал этот вопрос с одним человеком и сказал ему, что обязанностью мусульманина является следование законам Шариата, а не приверженность определённому мазхабу, и что следование мазхабу является лишь одним из способов следования законам Шариата. Правильно ли это, по Вашему мнению?</w:t>
      </w:r>
    </w:p>
    <w:p>
      <w:pPr>
        <w:pStyle w:val="Normal"/>
        <w:ind w:firstLine="567"/>
        <w:jc w:val="both"/>
        <w:rPr>
          <w:position w:val="0"/>
          <w:sz w:val="22"/>
          <w:vertAlign w:val="baseline"/>
        </w:rPr>
      </w:pPr>
      <w:r>
        <w:rPr>
          <w:position w:val="0"/>
          <w:sz w:val="22"/>
          <w:vertAlign w:val="baseline"/>
        </w:rPr>
        <w:t>Прошу Вас дать ответ, чтобы этот вопрос стал для меня ясным и моё сердце успокоилось. Да воздаст Вам Аллах наилучшим воздаянием за Ваш ответ.</w:t>
      </w:r>
    </w:p>
    <w:p>
      <w:pPr>
        <w:pStyle w:val="Normal"/>
        <w:ind w:firstLine="567"/>
        <w:jc w:val="both"/>
        <w:rPr>
          <w:position w:val="0"/>
          <w:sz w:val="22"/>
          <w:vertAlign w:val="baseline"/>
        </w:rPr>
      </w:pPr>
      <w:r>
        <w:rPr>
          <w:position w:val="0"/>
          <w:sz w:val="24"/>
          <w:vertAlign w:val="baseline"/>
        </w:rPr>
        <w:t>Ассаляму алейкум ва рахматуллахи ва баракятуху.</w:t>
      </w:r>
    </w:p>
    <w:p>
      <w:pPr>
        <w:pStyle w:val="Normal"/>
        <w:ind w:firstLine="567"/>
        <w:jc w:val="both"/>
        <w:rPr>
          <w:position w:val="0"/>
          <w:sz w:val="22"/>
          <w:vertAlign w:val="baseline"/>
        </w:rPr>
      </w:pPr>
      <w:r>
        <w:rPr>
          <w:b/>
          <w:bCs/>
          <w:position w:val="0"/>
          <w:sz w:val="24"/>
          <w:u w:val="single"/>
          <w:vertAlign w:val="baseline"/>
        </w:rPr>
        <w:t>Ответ:</w:t>
      </w:r>
    </w:p>
    <w:p>
      <w:pPr>
        <w:pStyle w:val="Normal"/>
        <w:ind w:firstLine="567"/>
        <w:jc w:val="both"/>
        <w:rPr>
          <w:position w:val="0"/>
          <w:sz w:val="22"/>
          <w:vertAlign w:val="baseline"/>
        </w:rPr>
      </w:pPr>
      <w:r>
        <w:rPr>
          <w:position w:val="0"/>
          <w:sz w:val="22"/>
          <w:vertAlign w:val="baseline"/>
        </w:rPr>
        <w:t>Ва алейкум ассалям ва рахматуллахи ва баракятуху.</w:t>
      </w:r>
    </w:p>
    <w:p>
      <w:pPr>
        <w:pStyle w:val="Normal"/>
        <w:ind w:firstLine="567"/>
        <w:jc w:val="both"/>
        <w:rPr>
          <w:position w:val="0"/>
          <w:sz w:val="22"/>
          <w:vertAlign w:val="baseline"/>
        </w:rPr>
      </w:pPr>
      <w:r>
        <w:rPr>
          <w:position w:val="0"/>
          <w:sz w:val="22"/>
          <w:vertAlign w:val="baseline"/>
        </w:rPr>
        <w:t>Прежде всего прошу Аллаха благословения для тебя за твоё благое дуа. И мы также просим Аллаха даровать тебе благо.</w:t>
      </w:r>
    </w:p>
    <w:p>
      <w:pPr>
        <w:pStyle w:val="Normal"/>
        <w:ind w:firstLine="567"/>
        <w:jc w:val="both"/>
        <w:rPr>
          <w:position w:val="0"/>
          <w:sz w:val="22"/>
          <w:vertAlign w:val="baseline"/>
        </w:rPr>
      </w:pPr>
      <w:r>
        <w:rPr>
          <w:b/>
          <w:bCs/>
          <w:position w:val="0"/>
          <w:sz w:val="24"/>
          <w:vertAlign w:val="baseline"/>
        </w:rPr>
        <w:t>Что касается твоих вопросов, то подробный ответ на них содержится в первом томе книги «Исламская личность», в разделе «Переход между муджтахидами»:</w:t>
      </w:r>
    </w:p>
    <w:p>
      <w:pPr>
        <w:pStyle w:val="Normal"/>
        <w:ind w:firstLine="567"/>
        <w:jc w:val="both"/>
        <w:rPr>
          <w:position w:val="0"/>
          <w:sz w:val="22"/>
          <w:vertAlign w:val="baseline"/>
        </w:rPr>
      </w:pPr>
      <w:r>
        <w:rPr>
          <w:rFonts w:cs="" w:cstheme="majorBidi"/>
          <w:position w:val="0"/>
          <w:sz w:val="24"/>
          <w:vertAlign w:val="baseline"/>
        </w:rPr>
        <w:t>[Всевышний Аллах не приказал нам следовать муджтахиду, имаму, мазхабу. Он приказал нам следовать шариатскому закону. Он приказал нам брать то, что принёс Посланник Аллаха Мухаммад (с.а.с.), и отказываться от того, что он запретил. Всевышний Аллах говорит:</w:t>
      </w:r>
    </w:p>
    <w:p>
      <w:pPr>
        <w:pStyle w:val="Normal"/>
        <w:bidi w:val="1"/>
        <w:jc w:val="center"/>
        <w:rPr>
          <w:rFonts w:cs="Scheherazade"/>
        </w:rPr>
      </w:pPr>
      <w:r>
        <w:rPr>
          <w:rFonts w:cs="Scheherazade"/>
          <w:position w:val="0"/>
          <w:sz w:val="32"/>
          <w:szCs w:val="32"/>
          <w:vertAlign w:val="baseline"/>
          <w:rtl w:val="true"/>
        </w:rPr>
        <w:t>وَمَآ ءَاتَىٰكُمُ ٱلرَّسُولُ فَخُذُوهُ وَمَا نَهَىٰكُمۡ عَنۡهُ فَٱنتَهُواْۚ</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bCs/>
          <w:position w:val="0"/>
          <w:sz w:val="24"/>
          <w:vertAlign w:val="baseline"/>
        </w:rPr>
        <w:t>«И что принёс вам Посланник, то берите, а что он вам запретил, от того удержитесь»</w:t>
      </w:r>
      <w:r>
        <w:rPr>
          <w:rFonts w:cs="" w:cstheme="majorBidi"/>
          <w:position w:val="0"/>
          <w:sz w:val="24"/>
          <w:vertAlign w:val="baseline"/>
        </w:rPr>
        <w:t xml:space="preserve"> (59:7).</w:t>
      </w:r>
    </w:p>
    <w:p>
      <w:pPr>
        <w:pStyle w:val="Normal"/>
        <w:ind w:firstLine="567"/>
        <w:jc w:val="both"/>
        <w:rPr>
          <w:position w:val="0"/>
          <w:sz w:val="22"/>
          <w:vertAlign w:val="baseline"/>
        </w:rPr>
      </w:pPr>
      <w:r>
        <w:rPr>
          <w:rFonts w:cs="" w:cstheme="majorBidi"/>
          <w:position w:val="0"/>
          <w:sz w:val="24"/>
          <w:vertAlign w:val="baseline"/>
        </w:rPr>
        <w:t>Поэтому, согласно Шариату, недопустимо следовать личностям, и надлежит следовать исключительно законам Аллаха. Однако реальность таклида сделала мусульман последователями законов муджтахида, которые стали избирать его своим имамом и считать законы, выведенные им по его иджтихаду, своим мазхабом. Вследствие этого на практике среди мусульман появились шафииты, ханафиты, маликиты, ханбалиты, джафариты, зайдиты и др. Действия тех мусульман, которые следуют шариатским законам, выведенным этим муджтахидом, являются шариатскими, ибо это — следование шариатскому закону. Но, если имеются такие, кто следуют самой личности муджтахида, а не его выводу, то их действия не могут считаться шариатскими, и то, чему они следуют, не считается шариатским законом, ибо это всего лишь речь, принадлежащая какой-то личности, а не приказы и запреты Аллаха, которые принёс нам Посланник Аллаха Мухаммад (с.а.с.). Исходя из этого, последователи всех мазхабов обязаны понимать, что они следуют законам Аллаха, которые выведены этими известными имамами. Если же они понимают иначе, то будут спрошены Всевышним Аллахом за оставление Его законов и следование личностям, которые являются рабами Аллаха.</w:t>
      </w:r>
    </w:p>
    <w:p>
      <w:pPr>
        <w:pStyle w:val="Normal"/>
        <w:ind w:firstLine="567"/>
        <w:jc w:val="both"/>
        <w:rPr>
          <w:position w:val="0"/>
          <w:sz w:val="22"/>
          <w:vertAlign w:val="baseline"/>
        </w:rPr>
      </w:pPr>
      <w:r>
        <w:rPr>
          <w:rFonts w:cs="" w:cstheme="majorBidi"/>
          <w:position w:val="0"/>
          <w:sz w:val="24"/>
          <w:vertAlign w:val="baseline"/>
        </w:rPr>
        <w:t>Это относительно следования законам определённого мазхаба. Что же касается оставления этих законов, то следует знать, что если мукаллид принял закон, но практически ещё не руководствовался им, то ему позволяется оставить этот закон и принять другой, основываясь на каком-либо из мураджихатов, которые имеют отношение к согласию Аллаха. Если же он уже практически руководствовался им, то тогда этот закон стал в отношении него законом Аллаха, и ему не позволяется отказываться от него и принимать другой, за исключением случая, если он знает доказательство второго закона и не знает доказательство первого, или если в результате обучения он узнал, что доказательство второго закона сильнее, чем доказательство первого закона, и он убедится в этом. В такой ситуации он должен оставить первый закон, поскольку его убеждённость в шариатском доказательстве и его утверждение этого доказательства сделали этот закон относительно него законом Аллаха. Эта ситуация аналогична той ситуации с муджтахидом, когда он находит более сильное доказательство, чем то доказательство, из которого вывел закон. В такой ситуации муджтахид из-за силы доказательства должен отказаться от своего предыдущего мнения и принять новое мнение. Во всех других положениях мукаллиду не дозволяется оставлять закон, которому он следовал, если он практически руководствовался им, и принимать другой закон.</w:t>
      </w:r>
    </w:p>
    <w:p>
      <w:pPr>
        <w:pStyle w:val="Normal"/>
        <w:ind w:firstLine="567"/>
        <w:jc w:val="both"/>
        <w:rPr>
          <w:position w:val="0"/>
          <w:sz w:val="22"/>
          <w:vertAlign w:val="baseline"/>
        </w:rPr>
      </w:pPr>
      <w:r>
        <w:rPr>
          <w:rFonts w:cs="" w:cstheme="majorBidi"/>
          <w:position w:val="0"/>
          <w:sz w:val="24"/>
          <w:vertAlign w:val="baseline"/>
        </w:rPr>
        <w:t>Если же говорить о следовании другому муджтахиду в другом законе, то это является вполне дозволенным действием для мукаллида, и на это указывает единодушие сподвижников, которое гласит о позволительности испрашивания мукаллидом любого учёного о шариатском законе в отношении любого вопроса. Если мукаллид определил для себя определённый мазхаб, как, например, шафиитский мазхаб или мазхаб имама Джафара и сказал: «Я следую и придерживаюсь его мазхаба», то в этом положении имеются свои некоторые детали, а именно: практически во всех примененных им вопросах из мазхаба, которому он следует, он не вправе делать таклид другому мазхабу. В иных же вопросах, которые он практически не применял, ему не запрещается следовать другому мазхабу.</w:t>
      </w:r>
    </w:p>
    <w:p>
      <w:pPr>
        <w:pStyle w:val="Normal"/>
        <w:ind w:firstLine="567"/>
        <w:jc w:val="both"/>
        <w:rPr>
          <w:position w:val="0"/>
          <w:sz w:val="22"/>
          <w:vertAlign w:val="baseline"/>
        </w:rPr>
      </w:pPr>
      <w:r>
        <w:rPr>
          <w:rFonts w:cs="" w:cstheme="majorBidi"/>
          <w:position w:val="0"/>
          <w:sz w:val="24"/>
          <w:vertAlign w:val="baseline"/>
        </w:rPr>
        <w:t>В этой связи необходимо иметь ясное представление о том условии, что вопрос, закон которого ему позволяется оставить и следовать в том же вопросе другому закону, должен быть вопросом, отдельным от другого вопроса, и в результате оставления которого не должно исходить нарушение других шариатских законов. Если этот вопрос связан с другим вопросом, то ему не позволяется оставлять его, пока не оставит все связанные с ним вопросы, поскольку все они считаются одним вопросом. Например, может быть, что вопрос является условием другого закона или одним из столпов полного действия, как, например, намаз и омовение и столпы намаза. Так, последователю имама аш-Шафии не позволяется делать таклид Абу Ханифе в его высказывании, что прикосновение к женщине не нарушает омовение, и продолжать при этом совершать намаз по мазхабу аш-Шафии. Он не может следовать тому, кто утверждает, что многочисленные движения в намазе, сколько бы их не происходило, не нарушают намаз, или что чтение суры «Фатиха» не является одним из столпов намаза, и при этом продолжать совершать намаз, следуя тому, кто утверждает, что многочисленные действия нарушают намаз и что чтение «Фатихи» является одним из столпов намаза. Закон, который можно оставлять - это закон, оставление которого не влияет на действия, выполняемые согласно другим шариатским законам».</w:t>
      </w:r>
    </w:p>
    <w:p>
      <w:pPr>
        <w:pStyle w:val="Normal"/>
        <w:ind w:firstLine="567"/>
        <w:jc w:val="both"/>
        <w:rPr>
          <w:position w:val="0"/>
          <w:sz w:val="22"/>
          <w:vertAlign w:val="baseline"/>
        </w:rPr>
      </w:pPr>
      <w:r>
        <w:rPr>
          <w:b/>
          <w:bCs/>
          <w:position w:val="0"/>
          <w:sz w:val="24"/>
          <w:vertAlign w:val="baseline"/>
        </w:rPr>
        <w:t>Этот текст подробно отвечает на твои вопросы. Для ещё большей ясности отметим следующее:</w:t>
      </w:r>
    </w:p>
    <w:p>
      <w:pPr>
        <w:pStyle w:val="Normal"/>
        <w:ind w:firstLine="567"/>
        <w:jc w:val="both"/>
        <w:rPr>
          <w:position w:val="0"/>
          <w:sz w:val="22"/>
          <w:vertAlign w:val="baseline"/>
        </w:rPr>
      </w:pPr>
      <w:r>
        <w:rPr>
          <w:position w:val="0"/>
          <w:sz w:val="22"/>
          <w:vertAlign w:val="baseline"/>
        </w:rPr>
        <w:t>1. Мусульманин не обязан следовать какому-либо определённому мазхабу. Он обязан следовать шариатскому закону, независимо от того, какой муджтахид вывел этот закон. Если он убеждён, что мнение определённого муджтахида является шариатским законом и является более предпочтительным, то он должен следовать ему.</w:t>
      </w:r>
    </w:p>
    <w:p>
      <w:pPr>
        <w:pStyle w:val="Normal"/>
        <w:ind w:firstLine="567"/>
        <w:jc w:val="both"/>
        <w:rPr>
          <w:position w:val="0"/>
          <w:sz w:val="22"/>
          <w:vertAlign w:val="baseline"/>
        </w:rPr>
      </w:pPr>
      <w:r>
        <w:rPr>
          <w:position w:val="0"/>
          <w:sz w:val="22"/>
          <w:vertAlign w:val="baseline"/>
        </w:rPr>
        <w:t>Однако мукаллид-аммий не способен осуществлять тарджих между мнениями посредством самостоятельного изучения доказательств, поскольку не располагает необходимыми для такого исследования инструментами. Поэтому его предпочтение основывается на общих критериях, например, на доверии к муджтахиду, убеждённости в том, что тот обладает большими знаниями и богобоязненностью и т.д. Если он считает Шафии более знающим по сравнению с другими и полагает, что в целом его мнение ближе к правильному, тогда он следует мнению Шафии. И так далее.</w:t>
      </w:r>
    </w:p>
    <w:p>
      <w:pPr>
        <w:pStyle w:val="Normal"/>
        <w:ind w:firstLine="567"/>
        <w:jc w:val="both"/>
        <w:rPr>
          <w:position w:val="0"/>
          <w:sz w:val="22"/>
          <w:vertAlign w:val="baseline"/>
        </w:rPr>
      </w:pPr>
      <w:r>
        <w:rPr>
          <w:position w:val="0"/>
          <w:sz w:val="22"/>
          <w:vertAlign w:val="baseline"/>
        </w:rPr>
        <w:t>2. Мусульманину дозволено следовать определённому мазхабу во всех вопросах. В прошлом это было широко распространено среди мусульман, тогда как сегодня встречается реже. Однако ему нельзя проявлять слепую приверженность своему мазхабу и следовать ему во всех вопросах даже тогда, когда его мнение противоречит более сильным шариатским доказательствам. Если ему стало ясно, что мнение другого мазхаба в каком-либо вопросе опирается на более сильное доказательство, то ему нельзя продолжать придерживаться в этом вопросе своего прежнего мазхаба из фанатичной приверженности и упорства, поскольку Шариат не повелел ему следовать определённому муджтахиду или определённому мазхабу. Шариат повелел ему следовать шариатскому закону.</w:t>
      </w:r>
    </w:p>
    <w:p>
      <w:pPr>
        <w:pStyle w:val="Normal"/>
        <w:ind w:firstLine="567"/>
        <w:jc w:val="both"/>
        <w:rPr>
          <w:position w:val="0"/>
          <w:sz w:val="22"/>
          <w:vertAlign w:val="baseline"/>
        </w:rPr>
      </w:pPr>
      <w:r>
        <w:rPr>
          <w:position w:val="0"/>
          <w:sz w:val="22"/>
          <w:vertAlign w:val="baseline"/>
        </w:rPr>
        <w:t>3. Для мукаллида-аммия надёжнее следовать определённому мазхабу и придерживаться его в целом ряде вопросов, поскольку такой мукаллид не обладает необходимыми знаниями для самостоятельного рассмотрения шариатских доказательств. Если он станет брать мнения из различных мазхабов, это может привести к противоречиям, смешению и различным проблемам. Поэтому мукаллиду-аммию рекомендуется следовать определённому мазхабу, особенно в тех странах, где данный мазхаб широко распространён, например шафиитскому мазхабу в Египте или маликитскому мазхабу в Марокко.</w:t>
      </w:r>
    </w:p>
    <w:p>
      <w:pPr>
        <w:pStyle w:val="Normal"/>
        <w:ind w:firstLine="567"/>
        <w:jc w:val="both"/>
        <w:rPr>
          <w:position w:val="0"/>
          <w:sz w:val="22"/>
          <w:vertAlign w:val="baseline"/>
        </w:rPr>
      </w:pPr>
      <w:r>
        <w:rPr>
          <w:position w:val="0"/>
          <w:sz w:val="24"/>
          <w:vertAlign w:val="baseline"/>
        </w:rPr>
        <w:t>4.</w:t>
      </w:r>
      <w:r>
        <w:rPr>
          <w:b/>
          <w:bCs/>
          <w:position w:val="0"/>
          <w:sz w:val="24"/>
          <w:vertAlign w:val="baseline"/>
        </w:rPr>
        <w:t xml:space="preserve"> </w:t>
      </w:r>
      <w:r>
        <w:rPr>
          <w:position w:val="0"/>
          <w:sz w:val="24"/>
          <w:vertAlign w:val="baseline"/>
        </w:rPr>
        <w:t>Термин «тальфик» употребляется в нескольких значениях, однако наиболее известны два из них:</w:t>
      </w:r>
    </w:p>
    <w:p>
      <w:pPr>
        <w:pStyle w:val="Normal"/>
        <w:ind w:firstLine="567"/>
        <w:jc w:val="both"/>
        <w:rPr>
          <w:position w:val="0"/>
          <w:sz w:val="22"/>
          <w:vertAlign w:val="baseline"/>
        </w:rPr>
      </w:pPr>
      <w:r>
        <w:rPr>
          <w:position w:val="0"/>
          <w:sz w:val="22"/>
          <w:vertAlign w:val="baseline"/>
        </w:rPr>
        <w:t>а) Взять мнения нескольких муджтахидов в рамках одного вопроса: в одной части вопроса принять мнение одного муджтахида, а в другой части — мнение другого. В результате получается комбинированный закон, который не выводил ни первый, ни второй муджтахид, и действие человека в соответствии с таким законом оказывается неправильным с точки зрения обоих муджтахидов. Тальфик в таком значении разъяснён, согласно мнению Хизба, в приведённом выше тексте из книги «Исламская личность»:</w:t>
      </w:r>
    </w:p>
    <w:p>
      <w:pPr>
        <w:pStyle w:val="Normal"/>
        <w:ind w:firstLine="567"/>
        <w:jc w:val="both"/>
        <w:rPr>
          <w:position w:val="0"/>
          <w:sz w:val="22"/>
          <w:vertAlign w:val="baseline"/>
        </w:rPr>
      </w:pPr>
      <w:r>
        <w:rPr>
          <w:position w:val="0"/>
          <w:sz w:val="24"/>
          <w:vertAlign w:val="baseline"/>
        </w:rPr>
        <w:t>[</w:t>
      </w:r>
      <w:r>
        <w:rPr>
          <w:rFonts w:cs="" w:cstheme="majorBidi"/>
          <w:position w:val="0"/>
          <w:sz w:val="24"/>
          <w:vertAlign w:val="baseline"/>
        </w:rPr>
        <w:t>В этой связи необходимо иметь ясное представление о том условии, что вопрос, закон которого ему позволяется оставить и следовать в том же вопросе другому закону, должен быть вопросом отдельным от другого вопроса, и в результате оставления которого не должно исходить нарушение других шариатских законов. Если этот вопрос связан с другим вопросом, то ему не позволяется оставлять его, пока не оставит все связанные с ним вопросы, поскольку все они считаются одним вопросом. Например, может быть, что вопрос является условием другого закона или одним из столпов полного действия, как, например, намаз и омовение и столпы намаза. Так последователю имама аш-Шафии не позволяется делать таклид Абу Ханифе в его высказывании, что прикосновение к женщине не нарушает омовение, и продолжать при этом совершать намаз по мазхабу аш-Шафии. Он не может следовать тому, кто утверждает, что многочисленные движения в намазе, сколько бы их не происходило, не нарушают намаз, или что чтение суры «Фатиха» не является одним из столпов намаза, и при этом продолжать совершать намаз, следуя тому, кто утверждает, что многочисленные действия нарушают намаз и что чтение «Фатихи» является одним из столпов намаза. Закон, который можно оставлять - это закон, оставление которого не влияет на действия, выполняемые согласно другим шариатским законам</w:t>
      </w:r>
      <w:r>
        <w:rPr>
          <w:position w:val="0"/>
          <w:sz w:val="24"/>
          <w:vertAlign w:val="baseline"/>
        </w:rPr>
        <w:t>].</w:t>
      </w:r>
    </w:p>
    <w:p>
      <w:pPr>
        <w:pStyle w:val="Normal"/>
        <w:ind w:firstLine="567"/>
        <w:jc w:val="both"/>
        <w:rPr>
          <w:position w:val="0"/>
          <w:sz w:val="22"/>
          <w:vertAlign w:val="baseline"/>
        </w:rPr>
      </w:pPr>
      <w:r>
        <w:rPr>
          <w:position w:val="0"/>
          <w:sz w:val="24"/>
          <w:vertAlign w:val="baseline"/>
        </w:rPr>
        <w:t xml:space="preserve">б) Взять отдельный вопрос из другого мазхаба, отличного от того, который мукаллид определил для себя. Например, следовать Шафии в вопросах намаза, а в вопросах хаджа принять мнение ханбалитов. </w:t>
      </w:r>
      <w:r>
        <w:rPr>
          <w:b/>
          <w:bCs/>
          <w:position w:val="0"/>
          <w:sz w:val="24"/>
          <w:vertAlign w:val="baseline"/>
        </w:rPr>
        <w:t>Тальфик в этом значении дозволен с учётом определённых подробностей, как было сказано выше в тексте, приведённом из первого тома книги «Исламская личность»:</w:t>
      </w:r>
    </w:p>
    <w:p>
      <w:pPr>
        <w:pStyle w:val="Normal"/>
        <w:ind w:firstLine="567"/>
        <w:jc w:val="both"/>
        <w:rPr>
          <w:position w:val="0"/>
          <w:sz w:val="22"/>
          <w:vertAlign w:val="baseline"/>
        </w:rPr>
      </w:pPr>
      <w:r>
        <w:rPr>
          <w:position w:val="0"/>
          <w:sz w:val="24"/>
          <w:vertAlign w:val="baseline"/>
        </w:rPr>
        <w:t>[</w:t>
      </w:r>
      <w:r>
        <w:rPr>
          <w:rFonts w:cs="" w:cstheme="majorBidi"/>
          <w:position w:val="0"/>
          <w:sz w:val="24"/>
          <w:vertAlign w:val="baseline"/>
        </w:rPr>
        <w:t>Это относительно следования законам определённого мазхаба. Что же касается оставления этих законов, то следует знать, что если мукаллид принял закон, но практически ещё не руководствовался им, то ему позволяется оставить этот закон и принять другой, основываясь на каком-либо из мураджихатов, которые имеют отношение к согласию Аллаха. Если же он уже практически руководствовался им, то тогда этот закон стал в отношении него законом Аллаха, и ему не позволяется отказываться от него и принимать другой, за исключением случая, если он знает доказательство второго закона и не знает доказательство первого, или если в результате обучения он узнал, что доказательство второго закона сильнее, чем доказательство первого закона, и он убедится в этом. В такой ситуации он должен оставить первый закон, поскольку его убеждённость в шариатском доказательстве и его утверждение этого доказательства сделали этот закон относительно него законом Аллаха. Эта ситуация аналогична той ситуации с муджтахидом, когда он находит более сильное доказательство, чем то доказательство, из которого вывел закон. В такой ситуации муджтахид из-за силы доказательства должен отказаться от своего предыдущего мнения и принять новое мнение. Во всех других положениях мукаллиду не дозволяется оставлять закон, которому он следовал, если он практически руководствовался им, и принимать другой закон.</w:t>
      </w:r>
    </w:p>
    <w:p>
      <w:pPr>
        <w:pStyle w:val="Normal"/>
        <w:ind w:firstLine="567"/>
        <w:jc w:val="both"/>
        <w:rPr>
          <w:position w:val="0"/>
          <w:sz w:val="22"/>
          <w:vertAlign w:val="baseline"/>
        </w:rPr>
      </w:pPr>
      <w:r>
        <w:rPr>
          <w:rFonts w:cs="" w:cstheme="majorBidi"/>
          <w:position w:val="0"/>
          <w:sz w:val="24"/>
          <w:vertAlign w:val="baseline"/>
        </w:rPr>
        <w:t>Если же говорить о следовании другому муджтахиду в другом законе, то это является вполне дозволенным действием для мукаллида, и на это указывает единодушие сподвижников, которое гласит о позволительности испрашивания мукаллидом любого учёного о шариатском законе в отношении любого вопроса. Если мукаллид определил для себя определённый мазхаб, как, например, шафиитский мазхаб или мазхаб имама Джафара и сказал: «Я следую и придерживаюсь его мазхаба», то в этом положении имеются свои некоторые детали, а именно: практически во всех примененных им вопросах из мазхаба, которому он следует, он не вправе делать таклид другому мазхабу. В иных же вопросах, которые он практически не применял, ему не запрещается следовать другому мазхабу</w:t>
      </w:r>
      <w:r>
        <w:rPr>
          <w:position w:val="0"/>
          <w:sz w:val="24"/>
          <w:vertAlign w:val="baseline"/>
        </w:rPr>
        <w:t>].</w:t>
      </w:r>
    </w:p>
    <w:p>
      <w:pPr>
        <w:pStyle w:val="Normal"/>
        <w:ind w:firstLine="567"/>
        <w:jc w:val="both"/>
        <w:rPr>
          <w:position w:val="0"/>
          <w:sz w:val="22"/>
          <w:vertAlign w:val="baseline"/>
        </w:rPr>
      </w:pPr>
      <w:r>
        <w:rPr>
          <w:b/>
          <w:bCs/>
          <w:position w:val="0"/>
          <w:sz w:val="24"/>
          <w:vertAlign w:val="baseline"/>
        </w:rPr>
        <w:t>Таким образом, внимательное рассмотрение приведённого текста из книги «Исламская личность» даёт ответы на все твои вопросы.</w:t>
      </w:r>
    </w:p>
    <w:p>
      <w:pPr>
        <w:pStyle w:val="Normal"/>
        <w:ind w:firstLine="567"/>
        <w:jc w:val="both"/>
        <w:rPr>
          <w:position w:val="0"/>
          <w:sz w:val="22"/>
          <w:vertAlign w:val="baseline"/>
        </w:rPr>
      </w:pPr>
      <w:r>
        <w:rPr>
          <w:position w:val="0"/>
          <w:sz w:val="22"/>
          <w:vertAlign w:val="baseline"/>
        </w:rPr>
      </w:r>
      <w:bookmarkStart w:id="0" w:name="_GoBack"/>
      <w:bookmarkEnd w:id="0"/>
    </w:p>
    <w:p>
      <w:pPr>
        <w:pStyle w:val="Normal"/>
        <w:ind w:firstLine="567"/>
        <w:jc w:val="both"/>
        <w:rPr>
          <w:position w:val="0"/>
          <w:sz w:val="22"/>
          <w:vertAlign w:val="baseline"/>
        </w:rPr>
      </w:pPr>
      <w:r>
        <w:rPr>
          <w:b/>
          <w:bCs/>
          <w:position w:val="0"/>
          <w:sz w:val="24"/>
          <w:vertAlign w:val="baseline"/>
        </w:rPr>
        <w:t>Ата ибн Халиль Абу ар-Рашта</w:t>
      </w:r>
    </w:p>
    <w:p>
      <w:pPr>
        <w:pStyle w:val="Normal"/>
        <w:ind w:firstLine="567"/>
        <w:jc w:val="both"/>
        <w:rPr>
          <w:position w:val="0"/>
          <w:sz w:val="22"/>
          <w:vertAlign w:val="baseline"/>
        </w:rPr>
      </w:pPr>
      <w:r>
        <w:rPr>
          <w:b/>
          <w:bCs/>
          <w:position w:val="0"/>
          <w:sz w:val="24"/>
          <w:vertAlign w:val="baseline"/>
        </w:rPr>
        <w:t>15 Раби уль-авваль 1448 г.х.</w:t>
      </w:r>
    </w:p>
    <w:p>
      <w:pPr>
        <w:pStyle w:val="Normal"/>
        <w:spacing w:before="0" w:after="120"/>
        <w:ind w:firstLine="567"/>
        <w:jc w:val="both"/>
        <w:rPr>
          <w:position w:val="0"/>
          <w:sz w:val="22"/>
          <w:vertAlign w:val="baseline"/>
        </w:rPr>
      </w:pPr>
      <w:r>
        <w:rPr>
          <w:b/>
          <w:bCs/>
          <w:position w:val="0"/>
          <w:sz w:val="24"/>
          <w:vertAlign w:val="baseline"/>
        </w:rPr>
        <w:t xml:space="preserve">28.08.2026 </w:t>
      </w:r>
    </w:p>
    <w:sectPr>
      <w:type w:val="nextPage"/>
      <w:pgSz w:w="11906" w:h="16838"/>
      <w:pgMar w:left="1134"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621e"/>
    <w:pPr>
      <w:widowControl/>
      <w:suppressLineNumbers/>
      <w:suppressAutoHyphens w:val="true"/>
      <w:bidi w:val="0"/>
      <w:spacing w:lineRule="auto" w:line="360" w:before="0" w:after="120"/>
      <w:jc w:val="left"/>
    </w:pPr>
    <w:rPr>
      <w:rFonts w:eastAsia="Calibri" w:cs="Arial" w:asciiTheme="majorBidi" w:hAnsiTheme="majorBidi"/>
      <w:color w:val="auto"/>
      <w:kern w:val="0"/>
      <w:sz w:val="24"/>
      <w:szCs w:val="24"/>
      <w:vertAlign w:val="superscript"/>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f96625"/>
    <w:rPr>
      <w:color w:themeColor="hyperlink" w:val="0563C1"/>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684</TotalTime>
  <Application>LibreOffice/26.2.4.2$Linux_X86_64 LibreOffice_project/0229ac93fcf0d7cbc6376066c6f35021cef002dc</Application>
  <AppVersion>15.0000</AppVersion>
  <Pages>7</Pages>
  <Words>1869</Words>
  <Characters>11458</Characters>
  <CharactersWithSpaces>13286</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2026-08-29T08:29:00Z</dcterms:created>
  <dc:creator>bagu bag</dc:creator>
  <dc:description/>
  <dc:language>ru-RU</dc:language>
  <cp:lastModifiedBy/>
  <dcterms:modified xsi:type="dcterms:W3CDTF">2026-09-03T17:19:23Z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