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7545C6" w14:textId="77777777" w:rsidR="00DF0121" w:rsidRPr="002F5C04" w:rsidRDefault="00DF0121" w:rsidP="002F5C04">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2F5C04">
        <w:rPr>
          <w:rFonts w:asciiTheme="majorBidi" w:eastAsia="Times New Roman" w:hAnsiTheme="majorBidi" w:cstheme="majorBidi"/>
          <w:b/>
          <w:bCs/>
          <w:caps/>
          <w:kern w:val="0"/>
          <w14:ligatures w14:val="none"/>
        </w:rPr>
        <w:t>KUR’AN İLİMLERİ (ULÛMU'L KUR’AN)</w:t>
      </w:r>
    </w:p>
    <w:p w14:paraId="4902AC0C" w14:textId="77777777" w:rsidR="00DF0121" w:rsidRPr="002F5C04" w:rsidRDefault="00DF0121" w:rsidP="00DF0121">
      <w:pPr>
        <w:shd w:val="clear" w:color="auto" w:fill="EEEEEE"/>
        <w:spacing w:after="150" w:line="240" w:lineRule="auto"/>
        <w:rPr>
          <w:rFonts w:asciiTheme="majorBidi" w:eastAsia="Times New Roman" w:hAnsiTheme="majorBidi" w:cstheme="majorBidi"/>
          <w:b/>
          <w:bCs/>
          <w:caps/>
          <w:kern w:val="0"/>
          <w14:ligatures w14:val="none"/>
        </w:rPr>
      </w:pPr>
      <w:r w:rsidRPr="002F5C04">
        <w:rPr>
          <w:rFonts w:asciiTheme="majorBidi" w:eastAsia="Times New Roman" w:hAnsiTheme="majorBidi" w:cstheme="majorBidi"/>
          <w:b/>
          <w:bCs/>
          <w:caps/>
          <w:kern w:val="0"/>
          <w14:ligatures w14:val="none"/>
        </w:rPr>
        <w:t>Serdar Yılmaz</w:t>
      </w:r>
    </w:p>
    <w:p w14:paraId="068F3083" w14:textId="77777777" w:rsidR="00DF0121" w:rsidRPr="002F5C04" w:rsidRDefault="00DF0121" w:rsidP="00DF0121">
      <w:pPr>
        <w:shd w:val="clear" w:color="auto" w:fill="EEEEEE"/>
        <w:spacing w:after="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noProof/>
          <w:kern w:val="0"/>
          <w14:ligatures w14:val="none"/>
        </w:rPr>
        <w:drawing>
          <wp:inline distT="0" distB="0" distL="0" distR="0" wp14:anchorId="6D232815" wp14:editId="6C390051">
            <wp:extent cx="6131043" cy="2235035"/>
            <wp:effectExtent l="0" t="0" r="317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49256" cy="2241674"/>
                    </a:xfrm>
                    <a:prstGeom prst="rect">
                      <a:avLst/>
                    </a:prstGeom>
                    <a:noFill/>
                    <a:ln>
                      <a:noFill/>
                    </a:ln>
                  </pic:spPr>
                </pic:pic>
              </a:graphicData>
            </a:graphic>
          </wp:inline>
        </w:drawing>
      </w:r>
    </w:p>
    <w:p w14:paraId="3E44D780"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İslâm kültürü, araştırılmasında İslâm akidesinin sebep olduğu bilgilerdir. Bu kültürün esası Kur’an ve Sünnet’e dayanır. Bu iki kaynağın doğru bir şekilde anlaşılması hem Müslüman bir şahsiyetin oluşması açısından hem de İslâm toplumunun doğru esaslar üzerine inşa edilmesi açısından son derece önemlidir. Aksi taktirde günümüzde yaşanan bireysel ve toplumsal buhranlardan kurtulmak ve İslâm adına konuşan saptırıcıların tuzaklarından emin olmak mümkün değildir. Zira İslâm ümmetine sağdan yaklaşanlar Kitap ve Sünnet’i, kendi hevalarına göre, Batılı hayat tarzının normlarına göre ve mevcut sistemlerin arzularına göre yorumlayarak, gayri İslâmi fikirlerini, “İslâmi görüş” olarak Müslümanlara dikte etmeye çalışmaktadırlar. Bu necis faaliyetlerin en bariz özelliği, usulsüzlüktür. Ne Kitap ve Sünnet’in indirildiği dil olan Arapçanın ve ne de Kitap ve Sünnet ile istidlal keyfiyetinin esas ve usullerine riayet etmeksizin, sadece, İslâm’ı mevcut şartlara uydurmak gayesiyle hareket etmektedirler. Bunun sonucu olarak da batıl fikir ve amellerin, İslâmi görüşler olarak savunulması gibi bir garabet ortaya çıkmaktadır. İşte bu sebeple Müslümanların, hassaten İslâm’ı davet olarak yüklenen kimselerin, Kur’an ve Sünnet’i anlamak için gerekli olan ilimlere yeteri kadar sahip olması elzem bir husustur.</w:t>
      </w:r>
    </w:p>
    <w:p w14:paraId="720C0F0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Eski ulemanın Kur’an ilimleri (Ulûm’ul Kur’an) ismini verdiği bu ilimler, hem Kur’an ve Sünnet’i doğru bir şekilde anlamak, hem de tefsir usulü ve fıkıh usulü gibi Kitap ve Sünnet ile istidlal için gerekli olan malumatlardır. Bu ilimlerin bir kısmı Arapça ilmine ilişkin hususlar, bir kısmı da Kitap ve Sünnet’e ilişkin hususlardır. Bu yazımızda inşaAllah, bu ilimlerden bazılarının genel hatlarını açıklamaya çalışacağım. Yerimiz sınırlı olduğundan çok detay ve teferruata giremeyeceğimizden, arzu edenlerin ilgili kitaplara müracaat etmesinin önemli olduğunu düşünüyorum.        </w:t>
      </w:r>
    </w:p>
    <w:p w14:paraId="53A99553"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Hakikat ve Mecaz</w:t>
      </w:r>
    </w:p>
    <w:p w14:paraId="2BD26EE4"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Dilde konulduğu manada kullanılıp kullanılmaması bakımından lafızlar, hakikat ve mecaz olarak ikiye ayrılır. Hakikat, dilde konulduğu manada kullanılan lafızdır. </w:t>
      </w:r>
      <w:r w:rsidRPr="002F5C04">
        <w:rPr>
          <w:rFonts w:asciiTheme="majorBidi" w:eastAsia="Times New Roman" w:hAnsiTheme="majorBidi" w:cstheme="majorBidi"/>
          <w:b/>
          <w:bCs/>
          <w:kern w:val="0"/>
          <w:rtl/>
          <w14:ligatures w14:val="none"/>
        </w:rPr>
        <w:t>الاسد </w:t>
      </w:r>
      <w:r w:rsidRPr="002F5C04">
        <w:rPr>
          <w:rFonts w:asciiTheme="majorBidi" w:eastAsia="Times New Roman" w:hAnsiTheme="majorBidi" w:cstheme="majorBidi"/>
          <w:kern w:val="0"/>
          <w14:ligatures w14:val="none"/>
        </w:rPr>
        <w:t>Aslan lafzının vahşi bir hayvan hakkında kullanılması gibi. Kullanılması bakımından lafızlardaki hakikat ise üçe ayrılır.</w:t>
      </w:r>
    </w:p>
    <w:p w14:paraId="42F4DD3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1-Lügavi Hakikat (Lügat Mana):</w:t>
      </w:r>
      <w:r w:rsidRPr="002F5C04">
        <w:rPr>
          <w:rFonts w:asciiTheme="majorBidi" w:eastAsia="Times New Roman" w:hAnsiTheme="majorBidi" w:cstheme="majorBidi"/>
          <w:kern w:val="0"/>
          <w14:ligatures w14:val="none"/>
        </w:rPr>
        <w:t> Dilde hangi mana için konulmuşsa, o manada kullanılan lafızdır. </w:t>
      </w:r>
      <w:r w:rsidRPr="002F5C04">
        <w:rPr>
          <w:rFonts w:asciiTheme="majorBidi" w:eastAsia="Times New Roman" w:hAnsiTheme="majorBidi" w:cstheme="majorBidi"/>
          <w:b/>
          <w:bCs/>
          <w:kern w:val="0"/>
          <w:rtl/>
          <w14:ligatures w14:val="none"/>
        </w:rPr>
        <w:t>القمر </w:t>
      </w:r>
      <w:r w:rsidRPr="002F5C04">
        <w:rPr>
          <w:rFonts w:asciiTheme="majorBidi" w:eastAsia="Times New Roman" w:hAnsiTheme="majorBidi" w:cstheme="majorBidi"/>
          <w:kern w:val="0"/>
          <w14:ligatures w14:val="none"/>
        </w:rPr>
        <w:t>Kamer lafzının ay için, </w:t>
      </w:r>
      <w:r w:rsidRPr="002F5C04">
        <w:rPr>
          <w:rFonts w:asciiTheme="majorBidi" w:eastAsia="Times New Roman" w:hAnsiTheme="majorBidi" w:cstheme="majorBidi"/>
          <w:b/>
          <w:bCs/>
          <w:kern w:val="0"/>
          <w:rtl/>
          <w14:ligatures w14:val="none"/>
        </w:rPr>
        <w:t>الشمس </w:t>
      </w:r>
      <w:r w:rsidRPr="002F5C04">
        <w:rPr>
          <w:rFonts w:asciiTheme="majorBidi" w:eastAsia="Times New Roman" w:hAnsiTheme="majorBidi" w:cstheme="majorBidi"/>
          <w:kern w:val="0"/>
          <w14:ligatures w14:val="none"/>
        </w:rPr>
        <w:t>şems lafzının güneş için kullanılması gibi. Zira bu lafızlar, bu manalar için konulmuştur.</w:t>
      </w:r>
    </w:p>
    <w:p w14:paraId="46D7969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2- Şer’î Hakikat (Şer’î Mana):</w:t>
      </w:r>
      <w:r w:rsidRPr="002F5C04">
        <w:rPr>
          <w:rFonts w:asciiTheme="majorBidi" w:eastAsia="Times New Roman" w:hAnsiTheme="majorBidi" w:cstheme="majorBidi"/>
          <w:kern w:val="0"/>
          <w14:ligatures w14:val="none"/>
        </w:rPr>
        <w:t> Şâri’nin belirli bir takım manaları kastetmek için koyduğu lafızlardır. Arapların lügat manasında koydukları lafızların, şeriat tarafından başka özel bir manaya nakledilmiş lafızlardır. Mesela Araplar </w:t>
      </w:r>
      <w:r w:rsidRPr="002F5C04">
        <w:rPr>
          <w:rFonts w:asciiTheme="majorBidi" w:eastAsia="Times New Roman" w:hAnsiTheme="majorBidi" w:cstheme="majorBidi"/>
          <w:b/>
          <w:bCs/>
          <w:kern w:val="0"/>
          <w:rtl/>
          <w14:ligatures w14:val="none"/>
        </w:rPr>
        <w:t>الصلاة </w:t>
      </w:r>
      <w:r w:rsidRPr="002F5C04">
        <w:rPr>
          <w:rFonts w:asciiTheme="majorBidi" w:eastAsia="Times New Roman" w:hAnsiTheme="majorBidi" w:cstheme="majorBidi"/>
          <w:kern w:val="0"/>
          <w14:ligatures w14:val="none"/>
        </w:rPr>
        <w:t>salat lafzını dua için koydular. Ardından şeriat aynı </w:t>
      </w:r>
      <w:r w:rsidRPr="002F5C04">
        <w:rPr>
          <w:rFonts w:asciiTheme="majorBidi" w:eastAsia="Times New Roman" w:hAnsiTheme="majorBidi" w:cstheme="majorBidi"/>
          <w:b/>
          <w:bCs/>
          <w:kern w:val="0"/>
          <w:rtl/>
          <w14:ligatures w14:val="none"/>
        </w:rPr>
        <w:t>الصلاة </w:t>
      </w:r>
      <w:r w:rsidRPr="002F5C04">
        <w:rPr>
          <w:rFonts w:asciiTheme="majorBidi" w:eastAsia="Times New Roman" w:hAnsiTheme="majorBidi" w:cstheme="majorBidi"/>
          <w:kern w:val="0"/>
          <w14:ligatures w14:val="none"/>
        </w:rPr>
        <w:t>salat lafzını hususi olarak yapılan fiiller ve sözler anlamında namaz manasında kullandı. Yine Araplar </w:t>
      </w:r>
      <w:r w:rsidRPr="002F5C04">
        <w:rPr>
          <w:rFonts w:asciiTheme="majorBidi" w:eastAsia="Times New Roman" w:hAnsiTheme="majorBidi" w:cstheme="majorBidi"/>
          <w:b/>
          <w:bCs/>
          <w:kern w:val="0"/>
          <w:rtl/>
          <w14:ligatures w14:val="none"/>
        </w:rPr>
        <w:t>الزكاة </w:t>
      </w:r>
      <w:r w:rsidRPr="002F5C04">
        <w:rPr>
          <w:rFonts w:asciiTheme="majorBidi" w:eastAsia="Times New Roman" w:hAnsiTheme="majorBidi" w:cstheme="majorBidi"/>
          <w:kern w:val="0"/>
          <w14:ligatures w14:val="none"/>
        </w:rPr>
        <w:t>zekât lafzını fazlalık ve ziyade manasında koydular. Şeriat geldi ve </w:t>
      </w:r>
      <w:r w:rsidRPr="002F5C04">
        <w:rPr>
          <w:rFonts w:asciiTheme="majorBidi" w:eastAsia="Times New Roman" w:hAnsiTheme="majorBidi" w:cstheme="majorBidi"/>
          <w:b/>
          <w:bCs/>
          <w:kern w:val="0"/>
          <w:rtl/>
          <w14:ligatures w14:val="none"/>
        </w:rPr>
        <w:t>الزكاة </w:t>
      </w:r>
      <w:r w:rsidRPr="002F5C04">
        <w:rPr>
          <w:rFonts w:asciiTheme="majorBidi" w:eastAsia="Times New Roman" w:hAnsiTheme="majorBidi" w:cstheme="majorBidi"/>
          <w:kern w:val="0"/>
          <w14:ligatures w14:val="none"/>
        </w:rPr>
        <w:t>zekât lafzını belirli bir miktardaki maldan, yine belirli bir miktarını vermek anlamında kullandı.  İşte bunlar şer’î manalardır.</w:t>
      </w:r>
    </w:p>
    <w:p w14:paraId="57BA0D1B"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lastRenderedPageBreak/>
        <w:t>3- Örfi Hakikat (Örfi mana):</w:t>
      </w:r>
      <w:r w:rsidRPr="002F5C04">
        <w:rPr>
          <w:rFonts w:asciiTheme="majorBidi" w:eastAsia="Times New Roman" w:hAnsiTheme="majorBidi" w:cstheme="majorBidi"/>
          <w:kern w:val="0"/>
          <w14:ligatures w14:val="none"/>
        </w:rPr>
        <w:t> Örf yoluyla kendisi için konulan manada kullanılan lafızdır. </w:t>
      </w:r>
      <w:r w:rsidRPr="002F5C04">
        <w:rPr>
          <w:rFonts w:asciiTheme="majorBidi" w:eastAsia="Times New Roman" w:hAnsiTheme="majorBidi" w:cstheme="majorBidi"/>
          <w:b/>
          <w:bCs/>
          <w:kern w:val="0"/>
          <w:rtl/>
          <w14:ligatures w14:val="none"/>
        </w:rPr>
        <w:t>الدابة </w:t>
      </w:r>
      <w:r w:rsidRPr="002F5C04">
        <w:rPr>
          <w:rFonts w:asciiTheme="majorBidi" w:eastAsia="Times New Roman" w:hAnsiTheme="majorBidi" w:cstheme="majorBidi"/>
          <w:kern w:val="0"/>
          <w14:ligatures w14:val="none"/>
        </w:rPr>
        <w:t>Dabbe lafzı lügat manasında yeryüzünde debelenen tüm canlılara yani hem insanlara hem de hayvanlara has olarak konuldu. Ardından bu lafız sadece hayvanlara tahsis edildi ve öylece meşhur olup örfleşti. Yine </w:t>
      </w:r>
      <w:proofErr w:type="spellStart"/>
      <w:r w:rsidRPr="002F5C04">
        <w:rPr>
          <w:rFonts w:asciiTheme="majorBidi" w:eastAsia="Times New Roman" w:hAnsiTheme="majorBidi" w:cstheme="majorBidi"/>
          <w:b/>
          <w:bCs/>
          <w:kern w:val="0"/>
          <w:rtl/>
          <w14:ligatures w14:val="none"/>
        </w:rPr>
        <w:t>غاءط</w:t>
      </w:r>
      <w:proofErr w:type="spellEnd"/>
      <w:r w:rsidRPr="002F5C04">
        <w:rPr>
          <w:rFonts w:asciiTheme="majorBidi" w:eastAsia="Times New Roman" w:hAnsiTheme="majorBidi" w:cstheme="majorBidi"/>
          <w:b/>
          <w:bCs/>
          <w:kern w:val="0"/>
          <w:rtl/>
          <w14:ligatures w14:val="none"/>
        </w:rPr>
        <w:t> </w:t>
      </w:r>
      <w:r w:rsidRPr="002F5C04">
        <w:rPr>
          <w:rFonts w:asciiTheme="majorBidi" w:eastAsia="Times New Roman" w:hAnsiTheme="majorBidi" w:cstheme="majorBidi"/>
          <w:kern w:val="0"/>
          <w14:ligatures w14:val="none"/>
        </w:rPr>
        <w:t>gait lafzı çukur ve alçak mekân manasında konulmuş olsa da, bu lafız insandan çıkan dışkı anlamında örfleşti. Hatta ilk anlamı tamamen unutuldu. İşte bunlar genel örfi hakikatlerdir. Bir de özel örfi hakikatler vardır ki, her bir ilim dalının uzmanları tarafından kullanılan lafızlardaki ıstılahi manalardır. Örneğin, hukukçuların kullandığı </w:t>
      </w:r>
      <w:r w:rsidRPr="002F5C04">
        <w:rPr>
          <w:rFonts w:asciiTheme="majorBidi" w:eastAsia="Times New Roman" w:hAnsiTheme="majorBidi" w:cstheme="majorBidi"/>
          <w:b/>
          <w:bCs/>
          <w:kern w:val="0"/>
          <w:rtl/>
          <w14:ligatures w14:val="none"/>
        </w:rPr>
        <w:t>التقادم </w:t>
      </w:r>
      <w:r w:rsidRPr="002F5C04">
        <w:rPr>
          <w:rFonts w:asciiTheme="majorBidi" w:eastAsia="Times New Roman" w:hAnsiTheme="majorBidi" w:cstheme="majorBidi"/>
          <w:kern w:val="0"/>
          <w14:ligatures w14:val="none"/>
        </w:rPr>
        <w:t>zaman aşımı ve dil âlimlerinin kullandığı </w:t>
      </w:r>
      <w:r w:rsidRPr="002F5C04">
        <w:rPr>
          <w:rFonts w:asciiTheme="majorBidi" w:eastAsia="Times New Roman" w:hAnsiTheme="majorBidi" w:cstheme="majorBidi"/>
          <w:b/>
          <w:bCs/>
          <w:kern w:val="0"/>
          <w:rtl/>
          <w14:ligatures w14:val="none"/>
        </w:rPr>
        <w:t>النحو </w:t>
      </w:r>
      <w:r w:rsidRPr="002F5C04">
        <w:rPr>
          <w:rFonts w:asciiTheme="majorBidi" w:eastAsia="Times New Roman" w:hAnsiTheme="majorBidi" w:cstheme="majorBidi"/>
          <w:kern w:val="0"/>
          <w14:ligatures w14:val="none"/>
        </w:rPr>
        <w:t>nahiv lafızları gibi. </w:t>
      </w:r>
    </w:p>
    <w:p w14:paraId="1795994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İşte bunlar dilde konulduğu manada kullanılan lafızlar olup, hakikat olarak isimlendirilmiştir.</w:t>
      </w:r>
    </w:p>
    <w:p w14:paraId="61252149"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Mecaza gelince:</w:t>
      </w:r>
      <w:r w:rsidRPr="002F5C04">
        <w:rPr>
          <w:rFonts w:asciiTheme="majorBidi" w:eastAsia="Times New Roman" w:hAnsiTheme="majorBidi" w:cstheme="majorBidi"/>
          <w:kern w:val="0"/>
          <w14:ligatures w14:val="none"/>
        </w:rPr>
        <w:t> Bir lafzın aralarındaki bir alakadan dolayı, hakikat manasının dışında kullanılmasına mecaz denir. Örneğin “aslan” lafzının cesur bir adam hakkında kullanılması gibi. Mecazın kullanımında hakiki mana ile mecazi mana arasında bir alakanın varlığı şart koşulur. Bu alaka ise lafzı duyan kişinin zihninde, hakikat manası ile kullanıldığı mana arasında kurulan bağlantı demektir. Alakanın birçok çeşidi vardır. Mesela  </w:t>
      </w:r>
      <w:r w:rsidRPr="002F5C04">
        <w:rPr>
          <w:rFonts w:asciiTheme="majorBidi" w:eastAsia="Times New Roman" w:hAnsiTheme="majorBidi" w:cstheme="majorBidi"/>
          <w:b/>
          <w:bCs/>
          <w:kern w:val="0"/>
          <w:rtl/>
          <w14:ligatures w14:val="none"/>
        </w:rPr>
        <w:t>يد </w:t>
      </w:r>
      <w:r w:rsidRPr="002F5C04">
        <w:rPr>
          <w:rFonts w:asciiTheme="majorBidi" w:eastAsia="Times New Roman" w:hAnsiTheme="majorBidi" w:cstheme="majorBidi"/>
          <w:kern w:val="0"/>
          <w14:ligatures w14:val="none"/>
        </w:rPr>
        <w:t>el lafzı, lügatte vücudun bir organıdır. Ancak elin, bir şeye güç yetirmek yani kudretle, sebeb-müsebbib alakası vardır. Bundan dolayı kudrete karşılık elin kullanılması mecazi bir kullanımdır. Mecazi kullanımın Kur’an-ı Kerim’de birçok örneği vardır.</w:t>
      </w:r>
    </w:p>
    <w:p w14:paraId="687AE314"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b/>
          <w:bCs/>
          <w:kern w:val="0"/>
          <w:rtl/>
          <w14:ligatures w14:val="none"/>
        </w:rPr>
        <w:t>يَجْعَلُونَ أَصْابِعَهُمْ فِي آذَانِهِم</w:t>
      </w:r>
    </w:p>
    <w:p w14:paraId="4D66763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“Parmaklarını kulaklarına tıkıyorlardı.”</w:t>
      </w:r>
      <w:bookmarkStart w:id="0" w:name="_ednref1"/>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w:t>
      </w:r>
      <w:r w:rsidRPr="002F5C04">
        <w:rPr>
          <w:rFonts w:asciiTheme="majorBidi" w:eastAsia="Times New Roman" w:hAnsiTheme="majorBidi" w:cstheme="majorBidi"/>
          <w:b/>
          <w:bCs/>
          <w:kern w:val="0"/>
          <w14:ligatures w14:val="none"/>
        </w:rPr>
        <w:fldChar w:fldCharType="end"/>
      </w:r>
      <w:bookmarkEnd w:id="0"/>
      <w:r w:rsidRPr="002F5C04">
        <w:rPr>
          <w:rFonts w:asciiTheme="majorBidi" w:eastAsia="Times New Roman" w:hAnsiTheme="majorBidi" w:cstheme="majorBidi"/>
          <w:kern w:val="0"/>
          <w14:ligatures w14:val="none"/>
        </w:rPr>
        <w:t> Bu ayette aralarındaki külliyet alakasından dolayı parmak ucuna karşılık parmak lafzı kullanıldı.</w:t>
      </w:r>
    </w:p>
    <w:p w14:paraId="6ED30BA7"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b/>
          <w:bCs/>
          <w:kern w:val="0"/>
          <w:rtl/>
          <w14:ligatures w14:val="none"/>
        </w:rPr>
        <w:t>فَتَحْرِيرُ رَقَبَةٍ</w:t>
      </w:r>
    </w:p>
    <w:p w14:paraId="3172EB6C"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“Bir boyun kurtarmak.”</w:t>
      </w:r>
      <w:bookmarkStart w:id="1" w:name="_ednref2"/>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w:t>
      </w:r>
      <w:r w:rsidRPr="002F5C04">
        <w:rPr>
          <w:rFonts w:asciiTheme="majorBidi" w:eastAsia="Times New Roman" w:hAnsiTheme="majorBidi" w:cstheme="majorBidi"/>
          <w:b/>
          <w:bCs/>
          <w:kern w:val="0"/>
          <w14:ligatures w14:val="none"/>
        </w:rPr>
        <w:fldChar w:fldCharType="end"/>
      </w:r>
      <w:bookmarkEnd w:id="1"/>
      <w:r w:rsidRPr="002F5C04">
        <w:rPr>
          <w:rFonts w:asciiTheme="majorBidi" w:eastAsia="Times New Roman" w:hAnsiTheme="majorBidi" w:cstheme="majorBidi"/>
          <w:kern w:val="0"/>
          <w14:ligatures w14:val="none"/>
        </w:rPr>
        <w:t> Yani köle azat etmek. Aralarındaki </w:t>
      </w:r>
      <w:r w:rsidRPr="002F5C04">
        <w:rPr>
          <w:rFonts w:asciiTheme="majorBidi" w:eastAsia="Times New Roman" w:hAnsiTheme="majorBidi" w:cstheme="majorBidi"/>
          <w:kern w:val="0"/>
          <w:u w:val="single"/>
          <w14:ligatures w14:val="none"/>
        </w:rPr>
        <w:t>cüziyyet alakasından</w:t>
      </w:r>
      <w:r w:rsidRPr="002F5C04">
        <w:rPr>
          <w:rFonts w:asciiTheme="majorBidi" w:eastAsia="Times New Roman" w:hAnsiTheme="majorBidi" w:cstheme="majorBidi"/>
          <w:kern w:val="0"/>
          <w14:ligatures w14:val="none"/>
        </w:rPr>
        <w:t> dolayı köle yerine boyun lafzını kullandı.</w:t>
      </w:r>
    </w:p>
    <w:p w14:paraId="20BE5B7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İşte lafızlardaki hakikat ve mecaza ilişkin hususların özeti budur. Bir lafız, hakiki manaya göre anlama imkânı bulunduğu sürece mecaza hamlolunmaz. Zira kelamda asıl olan hakikattir. Mecaz ise aslın hilafıdır.</w:t>
      </w:r>
    </w:p>
    <w:p w14:paraId="41C8884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Muhkem ve Müteşabih</w:t>
      </w:r>
    </w:p>
    <w:p w14:paraId="4521CD29"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Kur’an ilimlerinden birisi de muhkem ve müteşabih meselesidir. Kur’an Allahu Teâlâ’nın buyruğuna göre muhkem ve müteşabih ayetler içerir</w:t>
      </w:r>
      <w:r w:rsidRPr="002F5C04">
        <w:rPr>
          <w:rFonts w:asciiTheme="majorBidi" w:eastAsia="Times New Roman" w:hAnsiTheme="majorBidi" w:cstheme="majorBidi"/>
          <w:b/>
          <w:bCs/>
          <w:kern w:val="0"/>
          <w14:ligatures w14:val="none"/>
        </w:rPr>
        <w:t>.</w:t>
      </w:r>
    </w:p>
    <w:p w14:paraId="3CC879E8"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b/>
          <w:bCs/>
          <w:kern w:val="0"/>
          <w:rtl/>
          <w14:ligatures w14:val="none"/>
        </w:rPr>
        <w:t>هُوَ الَّذِيَ أَنزَلَ عَلَيْكَ الْكِتَابَ مِنْهُ آيَاتٌ مُّحْكَمَاتٌ هُنَّ أُمُّ الْكِتَابِ وَأُخَرُ مُتَشَابِهَاتٌ</w:t>
      </w:r>
    </w:p>
    <w:p w14:paraId="71F99537"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“Sana indirilen kitabın bir kısmı muhkem ayetler içerir. Bunlar kitabın esasıdır. Diğerleri de müteşabihtir.”</w:t>
      </w:r>
      <w:bookmarkStart w:id="2" w:name="_ednref3"/>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"_edn3"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[3]</w:t>
      </w:r>
      <w:r w:rsidRPr="002F5C04">
        <w:rPr>
          <w:rFonts w:asciiTheme="majorBidi" w:eastAsia="Times New Roman" w:hAnsiTheme="majorBidi" w:cstheme="majorBidi"/>
          <w:b/>
          <w:bCs/>
          <w:kern w:val="0"/>
          <w14:ligatures w14:val="none"/>
        </w:rPr>
        <w:fldChar w:fldCharType="end"/>
      </w:r>
      <w:bookmarkEnd w:id="2"/>
      <w:r w:rsidRPr="002F5C04">
        <w:rPr>
          <w:rFonts w:asciiTheme="majorBidi" w:eastAsia="Times New Roman" w:hAnsiTheme="majorBidi" w:cstheme="majorBidi"/>
          <w:kern w:val="0"/>
          <w14:ligatures w14:val="none"/>
        </w:rPr>
        <w:t> Muhkem, manası zahir ve açık olandır. Zahirinden anlaşılan manadan başka bir manaya çekilebilme ihtimali yoktur.</w:t>
      </w:r>
    </w:p>
    <w:p w14:paraId="0EDE5A51"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وَأَحَلَّ اللّهُ الْبَيْعَ وَحَرَّمَ الرِّبَا</w:t>
      </w:r>
    </w:p>
    <w:p w14:paraId="033B884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“Allah alışverişi helal, faizi haram kıldı.”</w:t>
      </w:r>
      <w:bookmarkStart w:id="3" w:name="_ednref4"/>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"_edn4"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[4]</w:t>
      </w:r>
      <w:r w:rsidRPr="002F5C04">
        <w:rPr>
          <w:rFonts w:asciiTheme="majorBidi" w:eastAsia="Times New Roman" w:hAnsiTheme="majorBidi" w:cstheme="majorBidi"/>
          <w:b/>
          <w:bCs/>
          <w:kern w:val="0"/>
          <w14:ligatures w14:val="none"/>
        </w:rPr>
        <w:fldChar w:fldCharType="end"/>
      </w:r>
      <w:bookmarkEnd w:id="3"/>
    </w:p>
    <w:p w14:paraId="1DE8D8A0"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b/>
          <w:bCs/>
          <w:kern w:val="0"/>
          <w:rtl/>
          <w14:ligatures w14:val="none"/>
        </w:rPr>
        <w:t>وَلَكُمْ فِي الْقِصَاصِ حَيَاةٌ يَاْ أُولِيْ الأَلْبَابِ</w:t>
      </w:r>
    </w:p>
    <w:p w14:paraId="08CB4620"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“Ey akıl sahipleri, kısasta sizin için hayat vardır.”</w:t>
      </w:r>
      <w:bookmarkStart w:id="4" w:name="_ednref5"/>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"_edn5"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[5]</w:t>
      </w:r>
      <w:r w:rsidRPr="002F5C04">
        <w:rPr>
          <w:rFonts w:asciiTheme="majorBidi" w:eastAsia="Times New Roman" w:hAnsiTheme="majorBidi" w:cstheme="majorBidi"/>
          <w:b/>
          <w:bCs/>
          <w:kern w:val="0"/>
          <w14:ligatures w14:val="none"/>
        </w:rPr>
        <w:fldChar w:fldCharType="end"/>
      </w:r>
      <w:bookmarkEnd w:id="4"/>
      <w:r w:rsidRPr="002F5C04">
        <w:rPr>
          <w:rFonts w:asciiTheme="majorBidi" w:eastAsia="Times New Roman" w:hAnsiTheme="majorBidi" w:cstheme="majorBidi"/>
          <w:kern w:val="0"/>
          <w14:ligatures w14:val="none"/>
        </w:rPr>
        <w:t> Ayetlerinde olduğu gibi manası zahir ve açık olan birçok ayet vardır ki, işte bunlar muhkem ayetlerdir.</w:t>
      </w:r>
    </w:p>
    <w:p w14:paraId="794DF57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Müteşabih ise ayetlerin birden fazla manaya muhtemel olmasıdır. Gerek lügat manasına göre gerekte şer’î manasına göre birkaç manaya gelme ihtimali vardır. İşte bundan dolayı okuyan ya da işiten kişiye manası benzeştiğinden dolayı müteşabih denmiştir. Örneğin,</w:t>
      </w:r>
    </w:p>
    <w:p w14:paraId="3ECFC1A2"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أَوْ لاَمَسْتُمُ النِّسَاء</w:t>
      </w:r>
    </w:p>
    <w:p w14:paraId="43443C3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“Veya kadınlara dokunduğunuzda.</w:t>
      </w:r>
      <w:bookmarkStart w:id="5" w:name="_ednref6"/>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"_edn6"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[6]</w:t>
      </w:r>
      <w:r w:rsidRPr="002F5C04">
        <w:rPr>
          <w:rFonts w:asciiTheme="majorBidi" w:eastAsia="Times New Roman" w:hAnsiTheme="majorBidi" w:cstheme="majorBidi"/>
          <w:b/>
          <w:bCs/>
          <w:kern w:val="0"/>
          <w14:ligatures w14:val="none"/>
        </w:rPr>
        <w:fldChar w:fldCharType="end"/>
      </w:r>
      <w:bookmarkEnd w:id="5"/>
      <w:r w:rsidRPr="002F5C04">
        <w:rPr>
          <w:rFonts w:asciiTheme="majorBidi" w:eastAsia="Times New Roman" w:hAnsiTheme="majorBidi" w:cstheme="majorBidi"/>
          <w:b/>
          <w:bCs/>
          <w:kern w:val="0"/>
          <w14:ligatures w14:val="none"/>
        </w:rPr>
        <w:t>”</w:t>
      </w:r>
      <w:r w:rsidRPr="002F5C04">
        <w:rPr>
          <w:rFonts w:asciiTheme="majorBidi" w:eastAsia="Times New Roman" w:hAnsiTheme="majorBidi" w:cstheme="majorBidi"/>
          <w:kern w:val="0"/>
          <w:vertAlign w:val="subscript"/>
          <w14:ligatures w14:val="none"/>
        </w:rPr>
        <w:t> </w:t>
      </w:r>
      <w:r w:rsidRPr="002F5C04">
        <w:rPr>
          <w:rFonts w:asciiTheme="majorBidi" w:eastAsia="Times New Roman" w:hAnsiTheme="majorBidi" w:cstheme="majorBidi"/>
          <w:kern w:val="0"/>
          <w14:ligatures w14:val="none"/>
        </w:rPr>
        <w:t>ayetinde geçen “dokunmak” hem el ile dokunmaya hem de cimaya delalet eder. Bundan dolayı bu müteşabihtir. Yine Allahu Teâlâ’ya nispetle zikredilen el, göz ve yüz gibi lafızlar da müteşabihtir.</w:t>
      </w:r>
    </w:p>
    <w:p w14:paraId="2BC60390"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يَدُ اللَّهِ فَوْقَ أَيْدِيهِمْ</w:t>
      </w:r>
    </w:p>
    <w:p w14:paraId="6683640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“Allah’ın eli onların ellerinin üzerindedir.”</w:t>
      </w:r>
      <w:bookmarkStart w:id="6" w:name="_ednref7"/>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"_edn7"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[7]</w:t>
      </w:r>
      <w:r w:rsidRPr="002F5C04">
        <w:rPr>
          <w:rFonts w:asciiTheme="majorBidi" w:eastAsia="Times New Roman" w:hAnsiTheme="majorBidi" w:cstheme="majorBidi"/>
          <w:b/>
          <w:bCs/>
          <w:kern w:val="0"/>
          <w14:ligatures w14:val="none"/>
        </w:rPr>
        <w:fldChar w:fldCharType="end"/>
      </w:r>
      <w:bookmarkEnd w:id="6"/>
      <w:r w:rsidRPr="002F5C04">
        <w:rPr>
          <w:rFonts w:asciiTheme="majorBidi" w:eastAsia="Times New Roman" w:hAnsiTheme="majorBidi" w:cstheme="majorBidi"/>
          <w:kern w:val="0"/>
          <w14:ligatures w14:val="none"/>
        </w:rPr>
        <w:t> </w:t>
      </w:r>
    </w:p>
    <w:p w14:paraId="59A17400"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وَاصْنَعِ الْفُلْكَ بِأَعْيُنِنَا</w:t>
      </w:r>
    </w:p>
    <w:p w14:paraId="21EC0FD3"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“Bizim gözlerimizin önünde gemiyi yap...”</w:t>
      </w:r>
      <w:bookmarkStart w:id="7" w:name="_ednref8"/>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"_edn8"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[8]</w:t>
      </w:r>
      <w:r w:rsidRPr="002F5C04">
        <w:rPr>
          <w:rFonts w:asciiTheme="majorBidi" w:eastAsia="Times New Roman" w:hAnsiTheme="majorBidi" w:cstheme="majorBidi"/>
          <w:b/>
          <w:bCs/>
          <w:kern w:val="0"/>
          <w14:ligatures w14:val="none"/>
        </w:rPr>
        <w:fldChar w:fldCharType="end"/>
      </w:r>
      <w:bookmarkEnd w:id="7"/>
    </w:p>
    <w:p w14:paraId="7827D3BC"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lastRenderedPageBreak/>
        <w:t>وَيَبْقَى وَجْهُ رَبِّكَ ذُو الْجَلَالِ وَالْإِكْرَامِ</w:t>
      </w:r>
    </w:p>
    <w:p w14:paraId="2AF2DB7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“Yalnızca celal ve ikram sahibi olan Rabbinin vechi (yüzü) baki kalacaktır.”</w:t>
      </w:r>
      <w:bookmarkStart w:id="8" w:name="_ednref9"/>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"_edn9"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[9]</w:t>
      </w:r>
      <w:r w:rsidRPr="002F5C04">
        <w:rPr>
          <w:rFonts w:asciiTheme="majorBidi" w:eastAsia="Times New Roman" w:hAnsiTheme="majorBidi" w:cstheme="majorBidi"/>
          <w:b/>
          <w:bCs/>
          <w:kern w:val="0"/>
          <w14:ligatures w14:val="none"/>
        </w:rPr>
        <w:fldChar w:fldCharType="end"/>
      </w:r>
      <w:bookmarkEnd w:id="8"/>
    </w:p>
    <w:p w14:paraId="41D9598A"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Müteşabih, manası anlaşılmayan değil, manası birden fazla anlama gelen demektir. Bazı âlimlerin müteşabihi manası anlaşılmayan şeklinde yorumlamaları bir hatadır. Zira Kur’an’da manası anlaşılmayan bir şey yoktur. Çünkü Kur’an’ın anlaşılmayan manalar içermesi onu insanlar için bir açıklama olmaktan çıkarır ki bu da Kur’an için söz konusu değildir. Yine Allah, insanlara anlaşılması imkânsız olan bir şeyle hitap etmekten münezzehtir.</w:t>
      </w:r>
    </w:p>
    <w:p w14:paraId="4A4CD4A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Mutlak ve Mukayyet</w:t>
      </w:r>
    </w:p>
    <w:p w14:paraId="0086FC7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Kitap ve Sünnet’in kısımlarından birisi de mutlak ve mukayyet bahsidir. Mutlak, lafzın cins olarak yaygın olan ve belirli olmayan bir manaya delalet etmesidir. Adam, köle, para, günler vb. gibi lafızlar cinsinde yaygın olan ve muayyen bir ferdi göstermeyen mutlak lafızlardır. Mukayyet ise muayyen bir manaya ya da ferde delalet eden veya belirli bir sıfatla kayıtlanan lafızlardır. Örneğin, Hasan ve Ali gibi özel isimler belirli bir ferde delalet ettiğinden dolayı mukayyet lafızlardır. Yine, Türk Lirası, Irak Dinarı gibi lafızlar veya mümin bir köle gibi belirli bir vasıf ve sıfatla kayıtlanan lafızlar da mukayyet lafızlardır. İşte Kitap ve Sünnet bu şekilde mutlak ve mukayyet lafızları içerir şekilde gelmiştir. Kur’an’daki mutlak lafızlar, Kur’an, Sünnet, icma ve kıyas ile takyid edilir. Yine Sünnet’te, Kur’an, Sünnet, icma ve kıyas ile takyid edilir. Ancak bu takyit için yani mutlak lafzı, mukayyet üzerine hamletmek için hükümlerin ve sebeplerin aynı olması, farklı olmaması gerekir. Örneğin:</w:t>
      </w:r>
    </w:p>
    <w:p w14:paraId="5590F783"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b/>
          <w:bCs/>
          <w:kern w:val="0"/>
          <w:rtl/>
          <w14:ligatures w14:val="none"/>
        </w:rPr>
        <w:t>وَالَّذِينَ يُظَاهِرُونَ مِن نِّسَائِهِمْ ثُمَّ يَعُودُونَ لِمَا قَالُوا فَتَحْرِيرُ رَقَبَةٍ</w:t>
      </w:r>
    </w:p>
    <w:p w14:paraId="35744DF5"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“Kadınlarına zıhar yapanlar ve sonra söylediklerinden geri dönenler, bir köle azat etmelidir.”</w:t>
      </w:r>
      <w:bookmarkStart w:id="9" w:name="_ednref10"/>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"_edn10"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[10]</w:t>
      </w:r>
      <w:r w:rsidRPr="002F5C04">
        <w:rPr>
          <w:rFonts w:asciiTheme="majorBidi" w:eastAsia="Times New Roman" w:hAnsiTheme="majorBidi" w:cstheme="majorBidi"/>
          <w:b/>
          <w:bCs/>
          <w:kern w:val="0"/>
          <w14:ligatures w14:val="none"/>
        </w:rPr>
        <w:fldChar w:fldCharType="end"/>
      </w:r>
      <w:bookmarkEnd w:id="9"/>
      <w:r w:rsidRPr="002F5C04">
        <w:rPr>
          <w:rFonts w:asciiTheme="majorBidi" w:eastAsia="Times New Roman" w:hAnsiTheme="majorBidi" w:cstheme="majorBidi"/>
          <w:kern w:val="0"/>
          <w:vertAlign w:val="subscript"/>
          <w14:ligatures w14:val="none"/>
        </w:rPr>
        <w:t> </w:t>
      </w:r>
      <w:r w:rsidRPr="002F5C04">
        <w:rPr>
          <w:rFonts w:asciiTheme="majorBidi" w:eastAsia="Times New Roman" w:hAnsiTheme="majorBidi" w:cstheme="majorBidi"/>
          <w:kern w:val="0"/>
          <w14:ligatures w14:val="none"/>
        </w:rPr>
        <w:t>Bu ayet-i kerimede köle lafzı mutlak olarak gelmiştir. Ancak şu ayet-i kerimede ise köle lafzı mukayyet olarak gelmiştir.</w:t>
      </w:r>
    </w:p>
    <w:p w14:paraId="49DF8E7D"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وَمَن قَتَلَ مُؤْمِنًا خَطَئًا فَتَحْرِيرُ رَقَبَةٍ مُّؤْمِنَةٍ</w:t>
      </w:r>
    </w:p>
    <w:p w14:paraId="206A2D20"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“Hataen bir mümini öldüren kimse, mümin bir köle azat etmelidir.”</w:t>
      </w:r>
      <w:bookmarkStart w:id="10" w:name="_ednref11"/>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"_edn11"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[11]</w:t>
      </w:r>
      <w:r w:rsidRPr="002F5C04">
        <w:rPr>
          <w:rFonts w:asciiTheme="majorBidi" w:eastAsia="Times New Roman" w:hAnsiTheme="majorBidi" w:cstheme="majorBidi"/>
          <w:b/>
          <w:bCs/>
          <w:kern w:val="0"/>
          <w14:ligatures w14:val="none"/>
        </w:rPr>
        <w:fldChar w:fldCharType="end"/>
      </w:r>
      <w:bookmarkEnd w:id="10"/>
      <w:r w:rsidRPr="002F5C04">
        <w:rPr>
          <w:rFonts w:asciiTheme="majorBidi" w:eastAsia="Times New Roman" w:hAnsiTheme="majorBidi" w:cstheme="majorBidi"/>
          <w:kern w:val="0"/>
          <w14:ligatures w14:val="none"/>
        </w:rPr>
        <w:t> Bu iki ayet-i kerimede, hükümdeki sebepler birbirinden farklıdır. Birinci ayet-i kerimede kadınlara zıhar yapanlardan, ikinci ayette ise hataen bir mümin öldürenlerden köle azat etmesi istenmektedir. Sebepler birbirinden farklı olduğundan dolayı burada mutlak mukayyete hamledilmez. Birinde köle, diğerinde ise mümin bir köle azat edilir. Yine Rabbimiz yeminlerdeki kefaretle ilgili olarak şöyle buyurmuştur:</w:t>
      </w:r>
    </w:p>
    <w:p w14:paraId="2451E4B1"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فَمَن لَّمْ يَجِدْ فَصِيَامُ ثَلاَثَةِ أَيَّامٍ</w:t>
      </w:r>
    </w:p>
    <w:p w14:paraId="74BF1963"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“Kim bunları bulamazsa üç gün oruç tutmalıdır.”</w:t>
      </w:r>
      <w:bookmarkStart w:id="11" w:name="_ednref12"/>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"_edn12"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[12]</w:t>
      </w:r>
      <w:r w:rsidRPr="002F5C04">
        <w:rPr>
          <w:rFonts w:asciiTheme="majorBidi" w:eastAsia="Times New Roman" w:hAnsiTheme="majorBidi" w:cstheme="majorBidi"/>
          <w:b/>
          <w:bCs/>
          <w:kern w:val="0"/>
          <w14:ligatures w14:val="none"/>
        </w:rPr>
        <w:fldChar w:fldCharType="end"/>
      </w:r>
      <w:bookmarkEnd w:id="11"/>
      <w:r w:rsidRPr="002F5C04">
        <w:rPr>
          <w:rFonts w:asciiTheme="majorBidi" w:eastAsia="Times New Roman" w:hAnsiTheme="majorBidi" w:cstheme="majorBidi"/>
          <w:kern w:val="0"/>
          <w:vertAlign w:val="subscript"/>
          <w14:ligatures w14:val="none"/>
        </w:rPr>
        <w:t> </w:t>
      </w:r>
      <w:r w:rsidRPr="002F5C04">
        <w:rPr>
          <w:rFonts w:asciiTheme="majorBidi" w:eastAsia="Times New Roman" w:hAnsiTheme="majorBidi" w:cstheme="majorBidi"/>
          <w:kern w:val="0"/>
          <w14:ligatures w14:val="none"/>
        </w:rPr>
        <w:t>Burada üç gün oruç mutlak olarak varit oldu. Peş peşe mi yoksa ayrı ayrı mı tutulacağı zikredilmedi. Zıhar kefaretinde ise oruç peş peşe kaydıyla varit oldu.</w:t>
      </w:r>
    </w:p>
    <w:p w14:paraId="623DE8EB"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فَمَن لَّمْ يَجِدْ فَصِيَامُ شَهْرَيْنِ مُتَتَابِعَيْنِ</w:t>
      </w:r>
    </w:p>
    <w:p w14:paraId="7C1D663F"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“Kim bunu bulamazsa peşpeşe iki ay oruç tutmalıdır.”</w:t>
      </w:r>
      <w:bookmarkStart w:id="12" w:name="_ednref13"/>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"_edn13"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[13]</w:t>
      </w:r>
      <w:r w:rsidRPr="002F5C04">
        <w:rPr>
          <w:rFonts w:asciiTheme="majorBidi" w:eastAsia="Times New Roman" w:hAnsiTheme="majorBidi" w:cstheme="majorBidi"/>
          <w:b/>
          <w:bCs/>
          <w:kern w:val="0"/>
          <w14:ligatures w14:val="none"/>
        </w:rPr>
        <w:fldChar w:fldCharType="end"/>
      </w:r>
      <w:bookmarkEnd w:id="12"/>
      <w:r w:rsidRPr="002F5C04">
        <w:rPr>
          <w:rFonts w:asciiTheme="majorBidi" w:eastAsia="Times New Roman" w:hAnsiTheme="majorBidi" w:cstheme="majorBidi"/>
          <w:kern w:val="0"/>
          <w14:ligatures w14:val="none"/>
        </w:rPr>
        <w:t> Bu iki ayette de sebepler farklı olduğundan, mutlak mukayyede hamledilmez. Yemin kefareti peş peşe olmaksızın, zıhar ise peş peşe tutulur. Bunlar gibi hükümler ve sebepler farklı olduğunda mutlak, mutlak olarak kalır. Mukayyet ise mukayyet olarak kalır. Ancak sebepler aynı olduğunda, mutlak mukayyede hamledilir.</w:t>
      </w:r>
    </w:p>
    <w:p w14:paraId="0EE867CA"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Mücmel ve Mübeyyen</w:t>
      </w:r>
    </w:p>
    <w:p w14:paraId="04E26F40"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Kur’an ilimlerinden olup Kitap ve Sünnet’in anlaşılmasına ilişkin hususlardan birisi de mücmel-mübeyyen konusudur. Lafızlardan açık bir delalet ile belirli bir şeyin anlaşılmadığı, aksine birden fazla şeyin anlaşıldığı ve bu anlaşılanlar arasında birbirlerine karşı herhangi bir üstünlüğün olmadığı şeye mücmel denir. Diğer bir ifade ile söz sahibinin ayrı bir açıklaması ile anlaşılan şeydir. İşte beyan ise mücmel olan hususa getirilen açıklamadır. Örneğin:</w:t>
      </w:r>
    </w:p>
    <w:p w14:paraId="7DD2ACEF"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وَأَقِيمُواْ الصَّلاَةَ</w:t>
      </w:r>
    </w:p>
    <w:p w14:paraId="16413FF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“Namazı kılınız.”</w:t>
      </w:r>
      <w:bookmarkStart w:id="13" w:name="_ednref14"/>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"_edn14"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[14]</w:t>
      </w:r>
      <w:r w:rsidRPr="002F5C04">
        <w:rPr>
          <w:rFonts w:asciiTheme="majorBidi" w:eastAsia="Times New Roman" w:hAnsiTheme="majorBidi" w:cstheme="majorBidi"/>
          <w:b/>
          <w:bCs/>
          <w:kern w:val="0"/>
          <w14:ligatures w14:val="none"/>
        </w:rPr>
        <w:fldChar w:fldCharType="end"/>
      </w:r>
      <w:bookmarkEnd w:id="13"/>
      <w:r w:rsidRPr="002F5C04">
        <w:rPr>
          <w:rFonts w:asciiTheme="majorBidi" w:eastAsia="Times New Roman" w:hAnsiTheme="majorBidi" w:cstheme="majorBidi"/>
          <w:kern w:val="0"/>
          <w14:ligatures w14:val="none"/>
        </w:rPr>
        <w:t> ayeti mücmeldir. Zira namazın nasıl kılınacağının beyanına muhtaçtır. Rasulullah </w:t>
      </w:r>
      <w:r w:rsidRPr="002F5C04">
        <w:rPr>
          <w:rFonts w:asciiTheme="majorBidi" w:eastAsia="Times New Roman" w:hAnsiTheme="majorBidi" w:cstheme="majorBidi"/>
          <w:i/>
          <w:iCs/>
          <w:kern w:val="0"/>
          <w14:ligatures w14:val="none"/>
        </w:rPr>
        <w:t>SallAllahu Aleyhi ve Sellem</w:t>
      </w:r>
      <w:r w:rsidRPr="002F5C04">
        <w:rPr>
          <w:rFonts w:asciiTheme="majorBidi" w:eastAsia="Times New Roman" w:hAnsiTheme="majorBidi" w:cstheme="majorBidi"/>
          <w:kern w:val="0"/>
          <w14:ligatures w14:val="none"/>
        </w:rPr>
        <w:t>’in şu sözü ise mücmel için bir beyandır.</w:t>
      </w:r>
    </w:p>
    <w:p w14:paraId="6040ADCA"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صَلُّوا كَمَا رَأَيْتُمُونِي أُصَلِّي</w:t>
      </w:r>
    </w:p>
    <w:p w14:paraId="2C581944"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lastRenderedPageBreak/>
        <w:t>“Beni namaz kılarken gördüğünüz gibi namaz kılın.”</w:t>
      </w:r>
      <w:bookmarkStart w:id="14" w:name="_ednref15"/>
      <w:r w:rsidRPr="002F5C04">
        <w:rPr>
          <w:rFonts w:asciiTheme="majorBidi" w:eastAsia="Times New Roman" w:hAnsiTheme="majorBidi" w:cstheme="majorBidi"/>
          <w:b/>
          <w:bCs/>
          <w:i/>
          <w:iCs/>
          <w:kern w:val="0"/>
          <w14:ligatures w14:val="none"/>
        </w:rPr>
        <w:fldChar w:fldCharType="begin"/>
      </w:r>
      <w:r w:rsidRPr="002F5C04">
        <w:rPr>
          <w:rFonts w:asciiTheme="majorBidi" w:eastAsia="Times New Roman" w:hAnsiTheme="majorBidi" w:cstheme="majorBidi"/>
          <w:b/>
          <w:bCs/>
          <w:i/>
          <w:iCs/>
          <w:kern w:val="0"/>
          <w14:ligatures w14:val="none"/>
        </w:rPr>
        <w:instrText>HYPERLINK "file:///D:\\002_Kuran%20ve%20S%C3%BCnnet%20%5b%C3%96zel%20Say%C4%B1%5d\\00_KUR%E2%80%99AN%20%C4%B0L%C4%B0MLER%C4%B0%20(ULUM%E2%80%99%C3%9CL%20KUR%E2%80%99AN)_Serdar%20YILMAZ.doc" \l "_edn15" \o ""</w:instrText>
      </w:r>
      <w:r w:rsidRPr="002F5C04">
        <w:rPr>
          <w:rFonts w:asciiTheme="majorBidi" w:eastAsia="Times New Roman" w:hAnsiTheme="majorBidi" w:cstheme="majorBidi"/>
          <w:b/>
          <w:bCs/>
          <w:i/>
          <w:iCs/>
          <w:kern w:val="0"/>
          <w14:ligatures w14:val="none"/>
        </w:rPr>
      </w:r>
      <w:r w:rsidRPr="002F5C04">
        <w:rPr>
          <w:rFonts w:asciiTheme="majorBidi" w:eastAsia="Times New Roman" w:hAnsiTheme="majorBidi" w:cstheme="majorBidi"/>
          <w:b/>
          <w:bCs/>
          <w:i/>
          <w:iCs/>
          <w:kern w:val="0"/>
          <w14:ligatures w14:val="none"/>
        </w:rPr>
        <w:fldChar w:fldCharType="separate"/>
      </w:r>
      <w:r w:rsidRPr="002F5C04">
        <w:rPr>
          <w:rFonts w:asciiTheme="majorBidi" w:eastAsia="Times New Roman" w:hAnsiTheme="majorBidi" w:cstheme="majorBidi"/>
          <w:b/>
          <w:bCs/>
          <w:i/>
          <w:iCs/>
          <w:kern w:val="0"/>
          <w14:ligatures w14:val="none"/>
        </w:rPr>
        <w:t>[15]</w:t>
      </w:r>
      <w:r w:rsidRPr="002F5C04">
        <w:rPr>
          <w:rFonts w:asciiTheme="majorBidi" w:eastAsia="Times New Roman" w:hAnsiTheme="majorBidi" w:cstheme="majorBidi"/>
          <w:b/>
          <w:bCs/>
          <w:i/>
          <w:iCs/>
          <w:kern w:val="0"/>
          <w14:ligatures w14:val="none"/>
        </w:rPr>
        <w:fldChar w:fldCharType="end"/>
      </w:r>
      <w:bookmarkEnd w:id="14"/>
      <w:r w:rsidRPr="002F5C04">
        <w:rPr>
          <w:rFonts w:asciiTheme="majorBidi" w:eastAsia="Times New Roman" w:hAnsiTheme="majorBidi" w:cstheme="majorBidi"/>
          <w:kern w:val="0"/>
          <w14:ligatures w14:val="none"/>
        </w:rPr>
        <w:t> Keza namazın nasıl kılınacağının açıklamasını içeren naslar, “Namaz Kılınız.” emri için bir beyandır.</w:t>
      </w:r>
    </w:p>
    <w:p w14:paraId="4ACE1B59"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Yine:</w:t>
      </w:r>
    </w:p>
    <w:p w14:paraId="5FFBF069"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وَلِلّهِ عَلَى النَّاسِ حِجُّ الْبَيْتِ مَنِ اسْتَطَاعَ إِلَيْهِ سَبِيلاً</w:t>
      </w:r>
    </w:p>
    <w:p w14:paraId="5F42C622"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“Yoluna imkân bulanların Beyti haccetmesi, Allah’ın insanlar üzerindeki bir hakkıdır.”</w:t>
      </w:r>
      <w:bookmarkStart w:id="15" w:name="_ednref16"/>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"_edn16"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[16]</w:t>
      </w:r>
      <w:r w:rsidRPr="002F5C04">
        <w:rPr>
          <w:rFonts w:asciiTheme="majorBidi" w:eastAsia="Times New Roman" w:hAnsiTheme="majorBidi" w:cstheme="majorBidi"/>
          <w:b/>
          <w:bCs/>
          <w:kern w:val="0"/>
          <w14:ligatures w14:val="none"/>
        </w:rPr>
        <w:fldChar w:fldCharType="end"/>
      </w:r>
      <w:bookmarkEnd w:id="15"/>
      <w:r w:rsidRPr="002F5C04">
        <w:rPr>
          <w:rFonts w:asciiTheme="majorBidi" w:eastAsia="Times New Roman" w:hAnsiTheme="majorBidi" w:cstheme="majorBidi"/>
          <w:kern w:val="0"/>
          <w14:ligatures w14:val="none"/>
        </w:rPr>
        <w:t> Ayetindeki “Beyti Haccetmek” mücmel bir husustur.</w:t>
      </w:r>
    </w:p>
    <w:p w14:paraId="1FB7E5F6"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خُذُوا عَنِّي مَنَاسِكَكُمْ</w:t>
      </w:r>
    </w:p>
    <w:p w14:paraId="6CFDDF83"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 Hacc Menasikini (yapılış erkânını) benden alınız.”</w:t>
      </w:r>
      <w:bookmarkStart w:id="16" w:name="_ednref17"/>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"_edn17"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[17]</w:t>
      </w:r>
      <w:r w:rsidRPr="002F5C04">
        <w:rPr>
          <w:rFonts w:asciiTheme="majorBidi" w:eastAsia="Times New Roman" w:hAnsiTheme="majorBidi" w:cstheme="majorBidi"/>
          <w:b/>
          <w:bCs/>
          <w:kern w:val="0"/>
          <w14:ligatures w14:val="none"/>
        </w:rPr>
        <w:fldChar w:fldCharType="end"/>
      </w:r>
      <w:bookmarkEnd w:id="16"/>
      <w:r w:rsidRPr="002F5C04">
        <w:rPr>
          <w:rFonts w:asciiTheme="majorBidi" w:eastAsia="Times New Roman" w:hAnsiTheme="majorBidi" w:cstheme="majorBidi"/>
          <w:kern w:val="0"/>
          <w14:ligatures w14:val="none"/>
        </w:rPr>
        <w:t> hadisi ise hacc için bir beyandır.</w:t>
      </w:r>
    </w:p>
    <w:p w14:paraId="627499E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Kur’an’ın mücmel ayetleri, hem Kitap ile hem de Sünnet ile beyan edilir. Bir kısım insanların Kur’an’da mücmelin olmadığını ya da Sünnet’in mücmeli beyan etme yetkisinin olmadığını söylemeleri delilden uzak bir hezeyandır. Zira Rabbimiz şöyle buyurmaktadır.</w:t>
      </w:r>
    </w:p>
    <w:p w14:paraId="2E420452"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وَمَا أَنزَلْنَا عَلَيْكَ الْكِتَابَ إِلاَّ لِتُبَيِّنَ لَهُمُ الَّذِي اخْتَلَفُواْ فِيهِ</w:t>
      </w:r>
      <w:r w:rsidRPr="002F5C04">
        <w:rPr>
          <w:rFonts w:asciiTheme="majorBidi" w:eastAsia="Times New Roman" w:hAnsiTheme="majorBidi" w:cstheme="majorBidi"/>
          <w:b/>
          <w:bCs/>
          <w:kern w:val="0"/>
          <w14:ligatures w14:val="none"/>
        </w:rPr>
        <w:t> </w:t>
      </w:r>
    </w:p>
    <w:p w14:paraId="35AC94DB"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“Sana kitabı, ancak ayrılığa düştükleri şeyleri onlara açıklaman için indirdik.”</w:t>
      </w:r>
      <w:bookmarkStart w:id="17" w:name="_ednref18"/>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"_edn18"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[18]</w:t>
      </w:r>
      <w:r w:rsidRPr="002F5C04">
        <w:rPr>
          <w:rFonts w:asciiTheme="majorBidi" w:eastAsia="Times New Roman" w:hAnsiTheme="majorBidi" w:cstheme="majorBidi"/>
          <w:b/>
          <w:bCs/>
          <w:kern w:val="0"/>
          <w14:ligatures w14:val="none"/>
        </w:rPr>
        <w:fldChar w:fldCharType="end"/>
      </w:r>
      <w:bookmarkEnd w:id="17"/>
      <w:r w:rsidRPr="002F5C04">
        <w:rPr>
          <w:rFonts w:asciiTheme="majorBidi" w:eastAsia="Times New Roman" w:hAnsiTheme="majorBidi" w:cstheme="majorBidi"/>
          <w:kern w:val="0"/>
          <w14:ligatures w14:val="none"/>
        </w:rPr>
        <w:t> Yine Sünnet’te yukarıda örneklerini verdiğimiz gibi, Kur’an’ın beyanını içeren birçok örnekler vardır.</w:t>
      </w:r>
    </w:p>
    <w:p w14:paraId="38D771F2"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لَمْ يَفْرِضْ رَسُولُ اللَّهِ الصَّدَقَةَ إِلا فِي عَشَرَةِ أَشْيَاءَ الإِبِلِ وَالْبَقَرِ وَالْغَنَمِ وَالذَّهَبِ وَالْفِضَّةِ وَالْحِنْطَةِ وَالشَّعِيرِ وَالتَّمْرِ وَالزَّبِيبِ السلت</w:t>
      </w:r>
    </w:p>
    <w:p w14:paraId="3C3B2954"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t> “Rasulullah zekâtı ancak şu on şeyde farz kıldı; deve, inek, koyun, altın, gümüş, buğday, arpa, hurma, kuru üzüm ve tuz.”</w:t>
      </w:r>
      <w:r w:rsidRPr="002F5C04">
        <w:rPr>
          <w:rFonts w:asciiTheme="majorBidi" w:eastAsia="Times New Roman" w:hAnsiTheme="majorBidi" w:cstheme="majorBidi"/>
          <w:b/>
          <w:bCs/>
          <w:kern w:val="0"/>
          <w14:ligatures w14:val="none"/>
        </w:rPr>
        <w:t> </w:t>
      </w:r>
      <w:r w:rsidRPr="002F5C04">
        <w:rPr>
          <w:rFonts w:asciiTheme="majorBidi" w:eastAsia="Times New Roman" w:hAnsiTheme="majorBidi" w:cstheme="majorBidi"/>
          <w:kern w:val="0"/>
          <w14:ligatures w14:val="none"/>
        </w:rPr>
        <w:t> İşte bu hadis zekât için bir beyandır.</w:t>
      </w:r>
    </w:p>
    <w:p w14:paraId="44AD623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Mantuk ve Mefhum</w:t>
      </w:r>
    </w:p>
    <w:p w14:paraId="4A9EBF7C"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Lafızlar ancak bir manaya delalet etmesi için konulmuştur. Kitap ve Sünnet’in lafızları da bir manaya ya da hükme delalet ederler. İşte Kitap ve Sünnet’in lafızlarının, hangi manalara ve hükümlere delalet ettiğinin anlaşılması, onların mantuk ve mefhum yoluyla olması açısından hükümlere delalet keyfiyetinin bilinmesine bağlıdır. Bir hitabın hükme delaleti, lafzın kendisinden kati bir şekilde anlaşılıyorsa buna mantuk delaleti denilir. Örneğin:</w:t>
      </w:r>
    </w:p>
    <w:p w14:paraId="4724E584"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فَلَا تَقُل لَّهُمَا أُفٍّ</w:t>
      </w:r>
    </w:p>
    <w:p w14:paraId="6D85E140"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“O ikisine (anne ve babaya) öf deme.”</w:t>
      </w:r>
      <w:bookmarkStart w:id="18" w:name="_ednref19"/>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"_edn19"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[19]</w:t>
      </w:r>
      <w:r w:rsidRPr="002F5C04">
        <w:rPr>
          <w:rFonts w:asciiTheme="majorBidi" w:eastAsia="Times New Roman" w:hAnsiTheme="majorBidi" w:cstheme="majorBidi"/>
          <w:b/>
          <w:bCs/>
          <w:kern w:val="0"/>
          <w14:ligatures w14:val="none"/>
        </w:rPr>
        <w:fldChar w:fldCharType="end"/>
      </w:r>
      <w:bookmarkEnd w:id="18"/>
      <w:r w:rsidRPr="002F5C04">
        <w:rPr>
          <w:rFonts w:asciiTheme="majorBidi" w:eastAsia="Times New Roman" w:hAnsiTheme="majorBidi" w:cstheme="majorBidi"/>
          <w:kern w:val="0"/>
          <w14:ligatures w14:val="none"/>
        </w:rPr>
        <w:t> ayeti ebeveyne öf demenin nehyine, lafzıyla açık olarak delalet eder.  Yine:</w:t>
      </w:r>
    </w:p>
    <w:p w14:paraId="441F4E75"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إِنَّ الَّذِينَ يَأْكُلُونَ أَمْوَالَ الْيَتَامَى ظُلْمًا إِنَّمَا يَأْكُلُونَ فِي بُطُونِهِمْ نَارًا</w:t>
      </w:r>
    </w:p>
    <w:p w14:paraId="0011C23D"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“Yetimlerin mallarını haksız yere yiyenler, ancak ve ancak karınlarını doldurasıya ateş yemiş olurlar.”</w:t>
      </w:r>
      <w:bookmarkStart w:id="19" w:name="_ednref20"/>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"_edn20"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[20]</w:t>
      </w:r>
      <w:r w:rsidRPr="002F5C04">
        <w:rPr>
          <w:rFonts w:asciiTheme="majorBidi" w:eastAsia="Times New Roman" w:hAnsiTheme="majorBidi" w:cstheme="majorBidi"/>
          <w:b/>
          <w:bCs/>
          <w:kern w:val="0"/>
          <w14:ligatures w14:val="none"/>
        </w:rPr>
        <w:fldChar w:fldCharType="end"/>
      </w:r>
      <w:bookmarkEnd w:id="19"/>
      <w:r w:rsidRPr="002F5C04">
        <w:rPr>
          <w:rFonts w:asciiTheme="majorBidi" w:eastAsia="Times New Roman" w:hAnsiTheme="majorBidi" w:cstheme="majorBidi"/>
          <w:kern w:val="0"/>
          <w14:ligatures w14:val="none"/>
        </w:rPr>
        <w:t> ayeti yetimlerin mallarını yemenin haramlığına kesin olarak lafzen delalet ederler. İşte bunlar mantuk delaleti ile yani lafzın kati bir şekilde delaletiyle bir hükme delalet etmişlerdir.</w:t>
      </w:r>
    </w:p>
    <w:p w14:paraId="44554892"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Eğer hitabın bir hükme delaleti, lafzın kendisinden kati bir şekilde anlaşılmıyor ancak manasının delaletiyle anlaşılıyorsa buna da mefhum denilir. Mesela yukarıdaki ayette ebeveyne öf demenin yasaklanması, ancak onlara eziyet etmenin yasaklanmasıdır. Zira “öf deme” lafzının manası, onlara eziyet etme manasına delalet eder. Dolayısıyla onlara eziyet etmenin mefhumuna giren azarlama ve dövme de haram kılınmıştır. İşte bu mefhumun delaletidir. Yani lafız bu hükme, dolaylı bir şekilde delalet etmiştir. Böylece lafızların delaleti, mantuk ve mefhumla sınırlıdır. Lafzın delaleti mantuktan değilse mefhumdandır. Buna göre iktiza delaleti, tenbih ve ima delaleti, işaret delaleti mefhumdandır. Aynı şekilde mefhum’ul muvafakat ve mefhum’ul muhalefet de mefhumdandır. Şimdi mefhumun delaleti olan bu kısımları kısaca açıklayalım.</w:t>
      </w:r>
    </w:p>
    <w:p w14:paraId="16CDDB8A"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İktiza Delaleti</w:t>
      </w:r>
    </w:p>
    <w:p w14:paraId="726BFDB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Bazen lafzın manalarının bir hükme delaleti, aklın ve şeriatın iktiza ettiklerinden olur. </w:t>
      </w:r>
      <w:r w:rsidRPr="002F5C04">
        <w:rPr>
          <w:rFonts w:asciiTheme="majorBidi" w:eastAsia="Times New Roman" w:hAnsiTheme="majorBidi" w:cstheme="majorBidi"/>
          <w:i/>
          <w:iCs/>
          <w:kern w:val="0"/>
          <w14:ligatures w14:val="none"/>
        </w:rPr>
        <w:t>Mesela SallAllahu Aleyhi ve Sellem</w:t>
      </w:r>
      <w:r w:rsidRPr="002F5C04">
        <w:rPr>
          <w:rFonts w:asciiTheme="majorBidi" w:eastAsia="Times New Roman" w:hAnsiTheme="majorBidi" w:cstheme="majorBidi"/>
          <w:kern w:val="0"/>
          <w14:ligatures w14:val="none"/>
        </w:rPr>
        <w:t>’in şu sözü gibi:</w:t>
      </w:r>
    </w:p>
    <w:p w14:paraId="33F16BB6"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رُفِعَ عَنْ أُمَّتِي الْخَطَأُ وَالنِّسْيَانُ</w:t>
      </w:r>
    </w:p>
    <w:p w14:paraId="4FBE064C"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t>“Ümmetimden hata ve unutma kaldırıldı.”</w:t>
      </w:r>
      <w:r w:rsidRPr="002F5C04">
        <w:rPr>
          <w:rFonts w:asciiTheme="majorBidi" w:eastAsia="Times New Roman" w:hAnsiTheme="majorBidi" w:cstheme="majorBidi"/>
          <w:kern w:val="0"/>
          <w14:ligatures w14:val="none"/>
        </w:rPr>
        <w:t xml:space="preserve"> Burada lafızlar hatanın ve unutmanın bu ümmetten kaldırıldığına delalet ediyor. Oysaki hata ve unutma bu ümmette sıklıkla görülen bir vakıadır. Bundan dolayı hata ve unutmanın tahakkukunun kaldırılmış olması mümkün değildir. Öyle ise kaldırılan hata </w:t>
      </w:r>
      <w:r w:rsidRPr="002F5C04">
        <w:rPr>
          <w:rFonts w:asciiTheme="majorBidi" w:eastAsia="Times New Roman" w:hAnsiTheme="majorBidi" w:cstheme="majorBidi"/>
          <w:kern w:val="0"/>
          <w14:ligatures w14:val="none"/>
        </w:rPr>
        <w:lastRenderedPageBreak/>
        <w:t>ve unutmadan kaynaklanan sorumluluğun hükmüdür. Aklen ve şer’an iktiza eden budur. Yine bunun benzeri de Allahu Teâlâ’nın şu ayetidir.</w:t>
      </w:r>
    </w:p>
    <w:p w14:paraId="48048200"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وَلَن يَجْعَلَ اللّهُ لِلْكَافِرِينَ عَلَى الْمُؤْمِنِينَ سَبِيلاً</w:t>
      </w:r>
    </w:p>
    <w:p w14:paraId="6FFC2585"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“Allah, müminler üzerinde kâfirler için asla bir yol kılmaz.”</w:t>
      </w:r>
      <w:bookmarkStart w:id="20" w:name="_ednref21"/>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"_edn21"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[21]</w:t>
      </w:r>
      <w:r w:rsidRPr="002F5C04">
        <w:rPr>
          <w:rFonts w:asciiTheme="majorBidi" w:eastAsia="Times New Roman" w:hAnsiTheme="majorBidi" w:cstheme="majorBidi"/>
          <w:b/>
          <w:bCs/>
          <w:kern w:val="0"/>
          <w14:ligatures w14:val="none"/>
        </w:rPr>
        <w:fldChar w:fldCharType="end"/>
      </w:r>
      <w:bookmarkEnd w:id="20"/>
      <w:r w:rsidRPr="002F5C04">
        <w:rPr>
          <w:rFonts w:asciiTheme="majorBidi" w:eastAsia="Times New Roman" w:hAnsiTheme="majorBidi" w:cstheme="majorBidi"/>
          <w:kern w:val="0"/>
          <w:vertAlign w:val="subscript"/>
          <w14:ligatures w14:val="none"/>
        </w:rPr>
        <w:t> </w:t>
      </w:r>
      <w:r w:rsidRPr="002F5C04">
        <w:rPr>
          <w:rFonts w:asciiTheme="majorBidi" w:eastAsia="Times New Roman" w:hAnsiTheme="majorBidi" w:cstheme="majorBidi"/>
          <w:kern w:val="0"/>
          <w14:ligatures w14:val="none"/>
        </w:rPr>
        <w:t>Oysaki kâfirlerin, müminler üzerindeki yolu tahakkuk etmiştir. Daha Rasul zamanında Mekke’de Müslümanlar, kâfirlerin hükmü altındaydılar. Ondan sonra da bu vakıa tahakkuk etmiştir. Zira Endülüs beldelerinde Müslümanlar, kâfirlerin hükmü altındaydılar. Dolayısıyla ayetteki bu lafızların manalarının iktiza ettiği, müminler üzerinde, kâfirlere yol verilmesinin haram olduğudur. İşte iktiza delaleti budur.</w:t>
      </w:r>
    </w:p>
    <w:p w14:paraId="37385242"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Tenbih ve İma Delaleti</w:t>
      </w:r>
    </w:p>
    <w:p w14:paraId="06B87A0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Bu delalet, lafızların anlaşılır ve münasip bir vasıf olması ve yine hükme bitişik olmasından dolayı illetliğe delalet etmesidir. Yani tenbih ve ima delaleti, sadece illetin anlaşılmasında söz konusudur. Örneğin:</w:t>
      </w:r>
    </w:p>
    <w:p w14:paraId="6E2E4664"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لاَ يَقْضِي الْقَاضِي وَهُوَ غَضْبَانُ</w:t>
      </w:r>
    </w:p>
    <w:p w14:paraId="004F611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t>“Kadı, kızgınken hüküm vermesin.”</w:t>
      </w:r>
      <w:bookmarkStart w:id="21" w:name="_ednref22"/>
      <w:r w:rsidRPr="002F5C04">
        <w:rPr>
          <w:rFonts w:asciiTheme="majorBidi" w:eastAsia="Times New Roman" w:hAnsiTheme="majorBidi" w:cstheme="majorBidi"/>
          <w:b/>
          <w:bCs/>
          <w:i/>
          <w:iCs/>
          <w:kern w:val="0"/>
          <w14:ligatures w14:val="none"/>
        </w:rPr>
        <w:fldChar w:fldCharType="begin"/>
      </w:r>
      <w:r w:rsidRPr="002F5C04">
        <w:rPr>
          <w:rFonts w:asciiTheme="majorBidi" w:eastAsia="Times New Roman" w:hAnsiTheme="majorBidi" w:cstheme="majorBidi"/>
          <w:b/>
          <w:bCs/>
          <w:i/>
          <w:iCs/>
          <w:kern w:val="0"/>
          <w14:ligatures w14:val="none"/>
        </w:rPr>
        <w:instrText>HYPERLINK "file:///D:\\002_Kuran%20ve%20S%C3%BCnnet%20%5b%C3%96zel%20Say%C4%B1%5d\\00_KUR%E2%80%99AN%20%C4%B0L%C4%B0MLER%C4%B0%20(ULUM%E2%80%99%C3%9CL%20KUR%E2%80%99AN)_Serdar%20YILMAZ.doc" \l "_edn22" \o ""</w:instrText>
      </w:r>
      <w:r w:rsidRPr="002F5C04">
        <w:rPr>
          <w:rFonts w:asciiTheme="majorBidi" w:eastAsia="Times New Roman" w:hAnsiTheme="majorBidi" w:cstheme="majorBidi"/>
          <w:b/>
          <w:bCs/>
          <w:i/>
          <w:iCs/>
          <w:kern w:val="0"/>
          <w14:ligatures w14:val="none"/>
        </w:rPr>
      </w:r>
      <w:r w:rsidRPr="002F5C04">
        <w:rPr>
          <w:rFonts w:asciiTheme="majorBidi" w:eastAsia="Times New Roman" w:hAnsiTheme="majorBidi" w:cstheme="majorBidi"/>
          <w:b/>
          <w:bCs/>
          <w:i/>
          <w:iCs/>
          <w:kern w:val="0"/>
          <w14:ligatures w14:val="none"/>
        </w:rPr>
        <w:fldChar w:fldCharType="separate"/>
      </w:r>
      <w:r w:rsidRPr="002F5C04">
        <w:rPr>
          <w:rFonts w:asciiTheme="majorBidi" w:eastAsia="Times New Roman" w:hAnsiTheme="majorBidi" w:cstheme="majorBidi"/>
          <w:b/>
          <w:bCs/>
          <w:i/>
          <w:iCs/>
          <w:kern w:val="0"/>
          <w14:ligatures w14:val="none"/>
        </w:rPr>
        <w:t>[22]</w:t>
      </w:r>
      <w:r w:rsidRPr="002F5C04">
        <w:rPr>
          <w:rFonts w:asciiTheme="majorBidi" w:eastAsia="Times New Roman" w:hAnsiTheme="majorBidi" w:cstheme="majorBidi"/>
          <w:b/>
          <w:bCs/>
          <w:i/>
          <w:iCs/>
          <w:kern w:val="0"/>
          <w14:ligatures w14:val="none"/>
        </w:rPr>
        <w:fldChar w:fldCharType="end"/>
      </w:r>
      <w:bookmarkEnd w:id="21"/>
      <w:r w:rsidRPr="002F5C04">
        <w:rPr>
          <w:rFonts w:asciiTheme="majorBidi" w:eastAsia="Times New Roman" w:hAnsiTheme="majorBidi" w:cstheme="majorBidi"/>
          <w:kern w:val="0"/>
          <w14:ligatures w14:val="none"/>
        </w:rPr>
        <w:t> hadisinde geçen kızgınlık, açık ve münasip bir vasıftır. Hükümle birlikte zikredildiği için, hâkimin hüküm vermesinin, kızgınlık illetinden dolayı yasaklandığına tenbih ve ima yolu ile delalet eder.</w:t>
      </w:r>
    </w:p>
    <w:p w14:paraId="004C8574"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İşaret Delaleti</w:t>
      </w:r>
    </w:p>
    <w:p w14:paraId="12A85B4F"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Bazen sözler bir hükmün beyanı için kullanılır ve bu kelam bir hükme delalet eder. Ancak o kelamdan, kastedilen hüküm dışında başka bir hüküm de anlaşılır. İşte buna işaret delaleti denilir. Mesela:</w:t>
      </w:r>
    </w:p>
    <w:p w14:paraId="5FC38EF9"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وَحَمْلُهُ وَفِصَالُهُ ثَلَاثُونَ شَهْرًا</w:t>
      </w:r>
    </w:p>
    <w:p w14:paraId="6C50BDE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“Onun hamile olarak taşınması ve sütten kesilmesi otuz aydır.”</w:t>
      </w:r>
      <w:bookmarkStart w:id="22" w:name="_ednref23"/>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"_edn23"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[23]</w:t>
      </w:r>
      <w:r w:rsidRPr="002F5C04">
        <w:rPr>
          <w:rFonts w:asciiTheme="majorBidi" w:eastAsia="Times New Roman" w:hAnsiTheme="majorBidi" w:cstheme="majorBidi"/>
          <w:b/>
          <w:bCs/>
          <w:kern w:val="0"/>
          <w14:ligatures w14:val="none"/>
        </w:rPr>
        <w:fldChar w:fldCharType="end"/>
      </w:r>
      <w:bookmarkEnd w:id="22"/>
      <w:r w:rsidRPr="002F5C04">
        <w:rPr>
          <w:rFonts w:asciiTheme="majorBidi" w:eastAsia="Times New Roman" w:hAnsiTheme="majorBidi" w:cstheme="majorBidi"/>
          <w:kern w:val="0"/>
          <w14:ligatures w14:val="none"/>
        </w:rPr>
        <w:t> ayeti hamilelik süresi ve sütten kesilme süresinin toplamda 30 ay olduğuna delalet eder</w:t>
      </w:r>
      <w:r w:rsidRPr="002F5C04">
        <w:rPr>
          <w:rFonts w:asciiTheme="majorBidi" w:eastAsia="Times New Roman" w:hAnsiTheme="majorBidi" w:cstheme="majorBidi"/>
          <w:b/>
          <w:bCs/>
          <w:kern w:val="0"/>
          <w14:ligatures w14:val="none"/>
        </w:rPr>
        <w:t>.</w:t>
      </w:r>
    </w:p>
    <w:p w14:paraId="70914178"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وَفِصَالُهُ فِي عَامَيْنِ</w:t>
      </w:r>
    </w:p>
    <w:p w14:paraId="0F89859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“Sütten kesilmesi ise iki senedir.”</w:t>
      </w:r>
      <w:bookmarkStart w:id="23" w:name="_ednref24"/>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"_edn24"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[24]</w:t>
      </w:r>
      <w:r w:rsidRPr="002F5C04">
        <w:rPr>
          <w:rFonts w:asciiTheme="majorBidi" w:eastAsia="Times New Roman" w:hAnsiTheme="majorBidi" w:cstheme="majorBidi"/>
          <w:b/>
          <w:bCs/>
          <w:kern w:val="0"/>
          <w14:ligatures w14:val="none"/>
        </w:rPr>
        <w:fldChar w:fldCharType="end"/>
      </w:r>
      <w:bookmarkEnd w:id="23"/>
      <w:r w:rsidRPr="002F5C04">
        <w:rPr>
          <w:rFonts w:asciiTheme="majorBidi" w:eastAsia="Times New Roman" w:hAnsiTheme="majorBidi" w:cstheme="majorBidi"/>
          <w:kern w:val="0"/>
          <w14:ligatures w14:val="none"/>
        </w:rPr>
        <w:t> ayeti ise sütten kesilme süresinin iki sene yani 24 ay olduğuna delalet eder. Bu iki ayetten işari olarak anlaşılan başka bir hüküm vardır ki, o da hamilelik süresinin en asgari olarak altı ay olduğudur. İşte bu işaret delaletidir. Yine:</w:t>
      </w:r>
    </w:p>
    <w:p w14:paraId="29D7BCF7"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فَالآنَ بَاشِرُوهُنَّ وَابْتَغُواْ مَا كَتَبَ اللّهُ لَكُمْ وَكُلُواْ وَاشْرَبُواْ حَتَّى يَتَبَيَّنَ لَكُمُ الْخَيْطُ الأَبْيَضُ مِنَ الْخَيْطِ الأَسْوَدِ مِنَ الْفَجْرِ</w:t>
      </w:r>
    </w:p>
    <w:p w14:paraId="54791CE8"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“Artık eşlerinize yaklaşın ve Allah’ın sizin için yazıp takdir etmiş olduğu şeyi arayın. Şafağın aydınlığı gecenin karanlığından ayırt edilinceye (tan yeri ağarıncaya) kadar yiyin, için.”</w:t>
      </w:r>
      <w:bookmarkStart w:id="24" w:name="_ednref25"/>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"_edn25"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[25]</w:t>
      </w:r>
      <w:r w:rsidRPr="002F5C04">
        <w:rPr>
          <w:rFonts w:asciiTheme="majorBidi" w:eastAsia="Times New Roman" w:hAnsiTheme="majorBidi" w:cstheme="majorBidi"/>
          <w:b/>
          <w:bCs/>
          <w:kern w:val="0"/>
          <w14:ligatures w14:val="none"/>
        </w:rPr>
        <w:fldChar w:fldCharType="end"/>
      </w:r>
      <w:bookmarkEnd w:id="24"/>
      <w:r w:rsidRPr="002F5C04">
        <w:rPr>
          <w:rFonts w:asciiTheme="majorBidi" w:eastAsia="Times New Roman" w:hAnsiTheme="majorBidi" w:cstheme="majorBidi"/>
          <w:kern w:val="0"/>
          <w14:ligatures w14:val="none"/>
        </w:rPr>
        <w:t> ayeti fecrin doğuşuna kadar yiyip, içmenin ve kadınlara yaklaşmanın mubah olduğuna delalet eder. Bununla beraber bu ayette, Ramazan gecelerinde eşi ile beraber olup, gusül almadan sabahlayan kimsenin orucunun fasit olmayacağına da delalet vardır. Zira fecir vaktine kadar cimanın mubah kılınması, guslün fecirden sonraya kalması sonucunu doğurur. Her ne kadar bu ayetten kasıt bu olmasa da, bu hükme de işaret delaleti vardır.</w:t>
      </w:r>
    </w:p>
    <w:p w14:paraId="4556CD9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Mefhum’ul Muvafakat</w:t>
      </w:r>
    </w:p>
    <w:p w14:paraId="2E1912FC"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Bizzat lafızdan anlaşılan manaların, lafzın medlulünden anlaşılan manalara muvafık olmasına mefhum’ul muvafakat denilir. Buna aynı zamanda fahval hitap da denir. Mesela:</w:t>
      </w:r>
    </w:p>
    <w:p w14:paraId="12FA2930"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إِنَّ الَّذِينَ يَأْكُلُونَ أَمْوَالَ الْيَتَامَى ظُلْمًا</w:t>
      </w:r>
    </w:p>
    <w:p w14:paraId="220ACF89"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“Yetimlerin mallarını haksızlıkla yiyenler.”</w:t>
      </w:r>
      <w:bookmarkStart w:id="25" w:name="_ednref26"/>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"_edn26"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[26]</w:t>
      </w:r>
      <w:r w:rsidRPr="002F5C04">
        <w:rPr>
          <w:rFonts w:asciiTheme="majorBidi" w:eastAsia="Times New Roman" w:hAnsiTheme="majorBidi" w:cstheme="majorBidi"/>
          <w:b/>
          <w:bCs/>
          <w:kern w:val="0"/>
          <w14:ligatures w14:val="none"/>
        </w:rPr>
        <w:fldChar w:fldCharType="end"/>
      </w:r>
      <w:bookmarkEnd w:id="25"/>
      <w:r w:rsidRPr="002F5C04">
        <w:rPr>
          <w:rFonts w:asciiTheme="majorBidi" w:eastAsia="Times New Roman" w:hAnsiTheme="majorBidi" w:cstheme="majorBidi"/>
          <w:kern w:val="0"/>
          <w14:ligatures w14:val="none"/>
        </w:rPr>
        <w:t> ayeti, bu malların yok edilip, itlaf edilmelerinin haramlığına da delalet eder. Zira yetim mallarının yenilmesinin haram kılınması, o malların yok edilmesinden dolayıdır. Öyle ise ister yemek sureti ile olsun, isterse de başka bir suretle olsun, yetim mallarının yok edilmesi haramdır. Yine:</w:t>
      </w:r>
    </w:p>
    <w:p w14:paraId="13C87DFC"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وَإِذَا أَخَذَ أَحَدُكُمْ عَصَا أَخِيهِ فَلْيَرْدُدْهَا عَلَيْهِ</w:t>
      </w:r>
    </w:p>
    <w:p w14:paraId="0D95DD67"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t>“Sizden birisi kardeşinin asasını aldığı zaman, onu ona geri versin.”</w:t>
      </w:r>
      <w:bookmarkStart w:id="26" w:name="_ednref27"/>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"_edn27"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b/>
          <w:bCs/>
          <w:kern w:val="0"/>
          <w14:ligatures w14:val="none"/>
        </w:rPr>
        <w:t>[27]</w:t>
      </w:r>
      <w:r w:rsidRPr="002F5C04">
        <w:rPr>
          <w:rFonts w:asciiTheme="majorBidi" w:eastAsia="Times New Roman" w:hAnsiTheme="majorBidi" w:cstheme="majorBidi"/>
          <w:kern w:val="0"/>
          <w14:ligatures w14:val="none"/>
        </w:rPr>
        <w:fldChar w:fldCharType="end"/>
      </w:r>
      <w:bookmarkEnd w:id="26"/>
      <w:r w:rsidRPr="002F5C04">
        <w:rPr>
          <w:rFonts w:asciiTheme="majorBidi" w:eastAsia="Times New Roman" w:hAnsiTheme="majorBidi" w:cstheme="majorBidi"/>
          <w:kern w:val="0"/>
          <w14:ligatures w14:val="none"/>
        </w:rPr>
        <w:t> hadisinde her ne kadar asa lafzı kullanılsa da, asadan küçük ya da büyük her ne aldıysa, onu kardeşine geri vermesinin emredildiğine de delalet eder.</w:t>
      </w:r>
    </w:p>
    <w:p w14:paraId="495B7C61"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14:ligatures w14:val="none"/>
        </w:rPr>
        <w:t>Mefhum’ul Muhalefet</w:t>
      </w:r>
    </w:p>
    <w:p w14:paraId="55BF6569"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lastRenderedPageBreak/>
        <w:t>Bu ise, bizzat lafızdan anlaşılan manaların, lafzın medlulünden anlaşılan manalara muhalif olmasıdır. Mefhum’ul muhalefet ile amel edilmesi ancak sıfat, şart, gaye ve adet mefhumlarında caizdir. Bunların dışında caiz değildir. Mesela:</w:t>
      </w:r>
    </w:p>
    <w:p w14:paraId="2AA2549F"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i/>
          <w:iCs/>
          <w:kern w:val="0"/>
          <w:rtl/>
          <w14:ligatures w14:val="none"/>
        </w:rPr>
        <w:t>وَفِي صَدَقَةِ الْغَنَمِ فِي سَائِمَتِهَا</w:t>
      </w:r>
    </w:p>
    <w:p w14:paraId="30952BAF"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i/>
          <w:iCs/>
          <w:kern w:val="0"/>
          <w14:ligatures w14:val="none"/>
        </w:rPr>
        <w:t>“Otlayan koyunlarda zekât vardır.”</w:t>
      </w:r>
      <w:r w:rsidRPr="002F5C04">
        <w:rPr>
          <w:rFonts w:asciiTheme="majorBidi" w:eastAsia="Times New Roman" w:hAnsiTheme="majorBidi" w:cstheme="majorBidi"/>
          <w:kern w:val="0"/>
          <w14:ligatures w14:val="none"/>
        </w:rPr>
        <w:t> hadisinden mefhum’ul muhalefeti ile otlamayan, yani beslenen koyunlarda zekâtın vacip olmadığı hükmüne delalet eder. Zira beslenmek ya da otlamak, koyunların iki sıfatıdır. Zekât vacibiyeti, otlanmak sıfatına bağlandığı için, beslenende vacip olmadığı hükmü çıkar. Yine:</w:t>
      </w:r>
    </w:p>
    <w:p w14:paraId="65B99CD5"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حَتَّى يُعْطُواْ الْجِزْيَةَ عَن يَدٍ</w:t>
      </w:r>
    </w:p>
    <w:p w14:paraId="1CC2836E"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“Kendi elleri ile cizye verinceye kadar onlarla savaşın.”</w:t>
      </w:r>
      <w:bookmarkStart w:id="27" w:name="_ednref28"/>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"_edn28"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[28]</w:t>
      </w:r>
      <w:r w:rsidRPr="002F5C04">
        <w:rPr>
          <w:rFonts w:asciiTheme="majorBidi" w:eastAsia="Times New Roman" w:hAnsiTheme="majorBidi" w:cstheme="majorBidi"/>
          <w:b/>
          <w:bCs/>
          <w:kern w:val="0"/>
          <w14:ligatures w14:val="none"/>
        </w:rPr>
        <w:fldChar w:fldCharType="end"/>
      </w:r>
      <w:bookmarkEnd w:id="27"/>
      <w:r w:rsidRPr="002F5C04">
        <w:rPr>
          <w:rFonts w:asciiTheme="majorBidi" w:eastAsia="Times New Roman" w:hAnsiTheme="majorBidi" w:cstheme="majorBidi"/>
          <w:kern w:val="0"/>
          <w14:ligatures w14:val="none"/>
        </w:rPr>
        <w:t> ayeti, mefhum’ul muhalefeti ile cizye verdiklerinde onlarla savaşmanın caiz olmadığına delalet eder.</w:t>
      </w:r>
    </w:p>
    <w:p w14:paraId="6D38C396" w14:textId="77777777" w:rsidR="00DF0121" w:rsidRPr="002F5C04" w:rsidRDefault="00DF0121" w:rsidP="00DF0121">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b/>
          <w:bCs/>
          <w:kern w:val="0"/>
          <w:rtl/>
          <w14:ligatures w14:val="none"/>
        </w:rPr>
        <w:t>الزَّانِيَةُ وَالزَّانِي فَاجْلِدُوا كُلَّ وَاحِدٍ مِّنْهُمَا مِئَةَ جَلْدَةٍ</w:t>
      </w:r>
    </w:p>
    <w:p w14:paraId="35B44D46"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2F5C04">
        <w:rPr>
          <w:rFonts w:asciiTheme="majorBidi" w:eastAsia="Times New Roman" w:hAnsiTheme="majorBidi" w:cstheme="majorBidi"/>
          <w:b/>
          <w:bCs/>
          <w:kern w:val="0"/>
          <w14:ligatures w14:val="none"/>
        </w:rPr>
        <w:t>“Zina eden bayan ve erkekten her birine yüz değnek vurun.”</w:t>
      </w:r>
      <w:bookmarkStart w:id="28" w:name="_ednref29"/>
      <w:r w:rsidRPr="002F5C04">
        <w:rPr>
          <w:rFonts w:asciiTheme="majorBidi" w:eastAsia="Times New Roman" w:hAnsiTheme="majorBidi" w:cstheme="majorBidi"/>
          <w:b/>
          <w:bCs/>
          <w:kern w:val="0"/>
          <w14:ligatures w14:val="none"/>
        </w:rPr>
        <w:fldChar w:fldCharType="begin"/>
      </w:r>
      <w:r w:rsidRPr="002F5C04">
        <w:rPr>
          <w:rFonts w:asciiTheme="majorBidi" w:eastAsia="Times New Roman" w:hAnsiTheme="majorBidi" w:cstheme="majorBidi"/>
          <w:b/>
          <w:bCs/>
          <w:kern w:val="0"/>
          <w14:ligatures w14:val="none"/>
        </w:rPr>
        <w:instrText>HYPERLINK "file:///D:\\002_Kuran%20ve%20S%C3%BCnnet%20%5b%C3%96zel%20Say%C4%B1%5d\\00_KUR%E2%80%99AN%20%C4%B0L%C4%B0MLER%C4%B0%20(ULUM%E2%80%99%C3%9CL%20KUR%E2%80%99AN)_Serdar%20YILMAZ.doc" \l "_edn29" \o ""</w:instrText>
      </w:r>
      <w:r w:rsidRPr="002F5C04">
        <w:rPr>
          <w:rFonts w:asciiTheme="majorBidi" w:eastAsia="Times New Roman" w:hAnsiTheme="majorBidi" w:cstheme="majorBidi"/>
          <w:b/>
          <w:bCs/>
          <w:kern w:val="0"/>
          <w14:ligatures w14:val="none"/>
        </w:rPr>
      </w:r>
      <w:r w:rsidRPr="002F5C04">
        <w:rPr>
          <w:rFonts w:asciiTheme="majorBidi" w:eastAsia="Times New Roman" w:hAnsiTheme="majorBidi" w:cstheme="majorBidi"/>
          <w:b/>
          <w:bCs/>
          <w:kern w:val="0"/>
          <w14:ligatures w14:val="none"/>
        </w:rPr>
        <w:fldChar w:fldCharType="separate"/>
      </w:r>
      <w:r w:rsidRPr="002F5C04">
        <w:rPr>
          <w:rFonts w:asciiTheme="majorBidi" w:eastAsia="Times New Roman" w:hAnsiTheme="majorBidi" w:cstheme="majorBidi"/>
          <w:b/>
          <w:bCs/>
          <w:kern w:val="0"/>
          <w14:ligatures w14:val="none"/>
        </w:rPr>
        <w:t>[29]</w:t>
      </w:r>
      <w:r w:rsidRPr="002F5C04">
        <w:rPr>
          <w:rFonts w:asciiTheme="majorBidi" w:eastAsia="Times New Roman" w:hAnsiTheme="majorBidi" w:cstheme="majorBidi"/>
          <w:b/>
          <w:bCs/>
          <w:kern w:val="0"/>
          <w14:ligatures w14:val="none"/>
        </w:rPr>
        <w:fldChar w:fldCharType="end"/>
      </w:r>
      <w:bookmarkEnd w:id="28"/>
      <w:r w:rsidRPr="002F5C04">
        <w:rPr>
          <w:rFonts w:asciiTheme="majorBidi" w:eastAsia="Times New Roman" w:hAnsiTheme="majorBidi" w:cstheme="majorBidi"/>
          <w:kern w:val="0"/>
          <w14:ligatures w14:val="none"/>
        </w:rPr>
        <w:t> ayeti ise hükmü belirli bir sayıya bağladığı için mefhum’ul muhalefeti ile yüz değnek üzerinin haramlığına delalet eder.</w:t>
      </w:r>
    </w:p>
    <w:p w14:paraId="610552F7" w14:textId="77777777" w:rsidR="00DF0121" w:rsidRPr="002F5C04" w:rsidRDefault="00DF0121" w:rsidP="00DF0121">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t>İşte bunlar da mefhum delaletinin kısımlarıdır.</w:t>
      </w:r>
    </w:p>
    <w:p w14:paraId="244CB416" w14:textId="77777777" w:rsidR="00DF0121" w:rsidRPr="002F5C04" w:rsidRDefault="00DF0121" w:rsidP="00DF0121">
      <w:pPr>
        <w:shd w:val="clear" w:color="auto" w:fill="FFFFFF"/>
        <w:spacing w:after="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br w:type="textWrapping" w:clear="all"/>
      </w:r>
    </w:p>
    <w:p w14:paraId="2DA5681D" w14:textId="77777777" w:rsidR="00DF0121" w:rsidRPr="002F5C04" w:rsidRDefault="00000000" w:rsidP="00DF0121">
      <w:pPr>
        <w:shd w:val="clear" w:color="auto" w:fill="FFFFFF"/>
        <w:spacing w:before="300" w:after="30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pict w14:anchorId="4A8E7D99">
          <v:rect id="_x0000_i1025" style="width:159.85pt;height:0" o:hrpct="330" o:hrstd="t" o:hr="t" fillcolor="#a0a0a0" stroked="f"/>
        </w:pict>
      </w:r>
    </w:p>
    <w:bookmarkStart w:id="29" w:name="_edn1"/>
    <w:bookmarkStart w:id="30" w:name="_Hlk215071520"/>
    <w:p w14:paraId="3D97FC3F"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w:t>
      </w:r>
      <w:r w:rsidRPr="002F5C04">
        <w:rPr>
          <w:rFonts w:asciiTheme="majorBidi" w:eastAsia="Times New Roman" w:hAnsiTheme="majorBidi" w:cstheme="majorBidi"/>
          <w:kern w:val="0"/>
          <w14:ligatures w14:val="none"/>
        </w:rPr>
        <w:fldChar w:fldCharType="end"/>
      </w:r>
      <w:bookmarkEnd w:id="29"/>
      <w:r w:rsidRPr="002F5C04">
        <w:rPr>
          <w:rFonts w:asciiTheme="majorBidi" w:eastAsia="Times New Roman" w:hAnsiTheme="majorBidi" w:cstheme="majorBidi"/>
          <w:kern w:val="0"/>
          <w14:ligatures w14:val="none"/>
        </w:rPr>
        <w:t> Bakara Suresi 19</w:t>
      </w:r>
    </w:p>
    <w:bookmarkStart w:id="31" w:name="_edn2"/>
    <w:p w14:paraId="0AB4E351"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w:t>
      </w:r>
      <w:r w:rsidRPr="002F5C04">
        <w:rPr>
          <w:rFonts w:asciiTheme="majorBidi" w:eastAsia="Times New Roman" w:hAnsiTheme="majorBidi" w:cstheme="majorBidi"/>
          <w:kern w:val="0"/>
          <w14:ligatures w14:val="none"/>
        </w:rPr>
        <w:fldChar w:fldCharType="end"/>
      </w:r>
      <w:bookmarkEnd w:id="31"/>
      <w:r w:rsidRPr="002F5C04">
        <w:rPr>
          <w:rFonts w:asciiTheme="majorBidi" w:eastAsia="Times New Roman" w:hAnsiTheme="majorBidi" w:cstheme="majorBidi"/>
          <w:kern w:val="0"/>
          <w14:ligatures w14:val="none"/>
        </w:rPr>
        <w:t> Nisa Suresi 92</w:t>
      </w:r>
    </w:p>
    <w:bookmarkStart w:id="32" w:name="_edn3"/>
    <w:p w14:paraId="58815984"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"_ednref3"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[3]</w:t>
      </w:r>
      <w:r w:rsidRPr="002F5C04">
        <w:rPr>
          <w:rFonts w:asciiTheme="majorBidi" w:eastAsia="Times New Roman" w:hAnsiTheme="majorBidi" w:cstheme="majorBidi"/>
          <w:kern w:val="0"/>
          <w14:ligatures w14:val="none"/>
        </w:rPr>
        <w:fldChar w:fldCharType="end"/>
      </w:r>
      <w:bookmarkEnd w:id="32"/>
      <w:r w:rsidRPr="002F5C04">
        <w:rPr>
          <w:rFonts w:asciiTheme="majorBidi" w:eastAsia="Times New Roman" w:hAnsiTheme="majorBidi" w:cstheme="majorBidi"/>
          <w:kern w:val="0"/>
          <w14:ligatures w14:val="none"/>
        </w:rPr>
        <w:t> Ali İmran Suresi 7</w:t>
      </w:r>
    </w:p>
    <w:bookmarkStart w:id="33" w:name="_edn4"/>
    <w:p w14:paraId="7553F48B"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"_ednref4"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[4]</w:t>
      </w:r>
      <w:r w:rsidRPr="002F5C04">
        <w:rPr>
          <w:rFonts w:asciiTheme="majorBidi" w:eastAsia="Times New Roman" w:hAnsiTheme="majorBidi" w:cstheme="majorBidi"/>
          <w:kern w:val="0"/>
          <w14:ligatures w14:val="none"/>
        </w:rPr>
        <w:fldChar w:fldCharType="end"/>
      </w:r>
      <w:bookmarkEnd w:id="33"/>
      <w:r w:rsidRPr="002F5C04">
        <w:rPr>
          <w:rFonts w:asciiTheme="majorBidi" w:eastAsia="Times New Roman" w:hAnsiTheme="majorBidi" w:cstheme="majorBidi"/>
          <w:kern w:val="0"/>
          <w14:ligatures w14:val="none"/>
        </w:rPr>
        <w:t> Bakara Suresi 275</w:t>
      </w:r>
    </w:p>
    <w:bookmarkStart w:id="34" w:name="_edn5"/>
    <w:p w14:paraId="30D95F4D"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"_ednref5"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[5]</w:t>
      </w:r>
      <w:r w:rsidRPr="002F5C04">
        <w:rPr>
          <w:rFonts w:asciiTheme="majorBidi" w:eastAsia="Times New Roman" w:hAnsiTheme="majorBidi" w:cstheme="majorBidi"/>
          <w:kern w:val="0"/>
          <w14:ligatures w14:val="none"/>
        </w:rPr>
        <w:fldChar w:fldCharType="end"/>
      </w:r>
      <w:bookmarkEnd w:id="34"/>
      <w:r w:rsidRPr="002F5C04">
        <w:rPr>
          <w:rFonts w:asciiTheme="majorBidi" w:eastAsia="Times New Roman" w:hAnsiTheme="majorBidi" w:cstheme="majorBidi"/>
          <w:kern w:val="0"/>
          <w14:ligatures w14:val="none"/>
        </w:rPr>
        <w:t> Bakara Suresi 179</w:t>
      </w:r>
    </w:p>
    <w:bookmarkStart w:id="35" w:name="_edn6"/>
    <w:p w14:paraId="1E29C88B"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"_ednref6"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[6]</w:t>
      </w:r>
      <w:r w:rsidRPr="002F5C04">
        <w:rPr>
          <w:rFonts w:asciiTheme="majorBidi" w:eastAsia="Times New Roman" w:hAnsiTheme="majorBidi" w:cstheme="majorBidi"/>
          <w:kern w:val="0"/>
          <w14:ligatures w14:val="none"/>
        </w:rPr>
        <w:fldChar w:fldCharType="end"/>
      </w:r>
      <w:bookmarkEnd w:id="35"/>
      <w:r w:rsidRPr="002F5C04">
        <w:rPr>
          <w:rFonts w:asciiTheme="majorBidi" w:eastAsia="Times New Roman" w:hAnsiTheme="majorBidi" w:cstheme="majorBidi"/>
          <w:kern w:val="0"/>
          <w14:ligatures w14:val="none"/>
        </w:rPr>
        <w:t> Maide Suresi 6</w:t>
      </w:r>
    </w:p>
    <w:bookmarkStart w:id="36" w:name="_edn7"/>
    <w:p w14:paraId="43FF3F7B"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"_ednref7"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[7]</w:t>
      </w:r>
      <w:r w:rsidRPr="002F5C04">
        <w:rPr>
          <w:rFonts w:asciiTheme="majorBidi" w:eastAsia="Times New Roman" w:hAnsiTheme="majorBidi" w:cstheme="majorBidi"/>
          <w:kern w:val="0"/>
          <w14:ligatures w14:val="none"/>
        </w:rPr>
        <w:fldChar w:fldCharType="end"/>
      </w:r>
      <w:bookmarkEnd w:id="36"/>
      <w:r w:rsidRPr="002F5C04">
        <w:rPr>
          <w:rFonts w:asciiTheme="majorBidi" w:eastAsia="Times New Roman" w:hAnsiTheme="majorBidi" w:cstheme="majorBidi"/>
          <w:kern w:val="0"/>
          <w14:ligatures w14:val="none"/>
        </w:rPr>
        <w:t> Fetih Suresi 10</w:t>
      </w:r>
    </w:p>
    <w:bookmarkStart w:id="37" w:name="_edn8"/>
    <w:p w14:paraId="32333A5C"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"_ednref8"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[8]</w:t>
      </w:r>
      <w:r w:rsidRPr="002F5C04">
        <w:rPr>
          <w:rFonts w:asciiTheme="majorBidi" w:eastAsia="Times New Roman" w:hAnsiTheme="majorBidi" w:cstheme="majorBidi"/>
          <w:kern w:val="0"/>
          <w14:ligatures w14:val="none"/>
        </w:rPr>
        <w:fldChar w:fldCharType="end"/>
      </w:r>
      <w:bookmarkEnd w:id="37"/>
      <w:r w:rsidRPr="002F5C04">
        <w:rPr>
          <w:rFonts w:asciiTheme="majorBidi" w:eastAsia="Times New Roman" w:hAnsiTheme="majorBidi" w:cstheme="majorBidi"/>
          <w:kern w:val="0"/>
          <w14:ligatures w14:val="none"/>
        </w:rPr>
        <w:t> Hud Suresi 37</w:t>
      </w:r>
    </w:p>
    <w:bookmarkStart w:id="38" w:name="_edn9"/>
    <w:p w14:paraId="7252ABBE"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"_ednref9"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[9]</w:t>
      </w:r>
      <w:r w:rsidRPr="002F5C04">
        <w:rPr>
          <w:rFonts w:asciiTheme="majorBidi" w:eastAsia="Times New Roman" w:hAnsiTheme="majorBidi" w:cstheme="majorBidi"/>
          <w:kern w:val="0"/>
          <w14:ligatures w14:val="none"/>
        </w:rPr>
        <w:fldChar w:fldCharType="end"/>
      </w:r>
      <w:bookmarkEnd w:id="38"/>
      <w:r w:rsidRPr="002F5C04">
        <w:rPr>
          <w:rFonts w:asciiTheme="majorBidi" w:eastAsia="Times New Roman" w:hAnsiTheme="majorBidi" w:cstheme="majorBidi"/>
          <w:kern w:val="0"/>
          <w14:ligatures w14:val="none"/>
        </w:rPr>
        <w:t> Rahman Suresi 27</w:t>
      </w:r>
    </w:p>
    <w:bookmarkStart w:id="39" w:name="_edn10"/>
    <w:p w14:paraId="68938D6F"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"_ednref10"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[10]</w:t>
      </w:r>
      <w:r w:rsidRPr="002F5C04">
        <w:rPr>
          <w:rFonts w:asciiTheme="majorBidi" w:eastAsia="Times New Roman" w:hAnsiTheme="majorBidi" w:cstheme="majorBidi"/>
          <w:kern w:val="0"/>
          <w14:ligatures w14:val="none"/>
        </w:rPr>
        <w:fldChar w:fldCharType="end"/>
      </w:r>
      <w:bookmarkEnd w:id="39"/>
      <w:r w:rsidRPr="002F5C04">
        <w:rPr>
          <w:rFonts w:asciiTheme="majorBidi" w:eastAsia="Times New Roman" w:hAnsiTheme="majorBidi" w:cstheme="majorBidi"/>
          <w:kern w:val="0"/>
          <w14:ligatures w14:val="none"/>
        </w:rPr>
        <w:t> Mücadele Suresi 3</w:t>
      </w:r>
    </w:p>
    <w:bookmarkStart w:id="40" w:name="_edn11"/>
    <w:p w14:paraId="7FA5CD70"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"_ednref11"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[11]</w:t>
      </w:r>
      <w:r w:rsidRPr="002F5C04">
        <w:rPr>
          <w:rFonts w:asciiTheme="majorBidi" w:eastAsia="Times New Roman" w:hAnsiTheme="majorBidi" w:cstheme="majorBidi"/>
          <w:kern w:val="0"/>
          <w14:ligatures w14:val="none"/>
        </w:rPr>
        <w:fldChar w:fldCharType="end"/>
      </w:r>
      <w:bookmarkEnd w:id="40"/>
      <w:r w:rsidRPr="002F5C04">
        <w:rPr>
          <w:rFonts w:asciiTheme="majorBidi" w:eastAsia="Times New Roman" w:hAnsiTheme="majorBidi" w:cstheme="majorBidi"/>
          <w:kern w:val="0"/>
          <w14:ligatures w14:val="none"/>
        </w:rPr>
        <w:t> Nisa Suresi 92</w:t>
      </w:r>
    </w:p>
    <w:bookmarkStart w:id="41" w:name="_edn12"/>
    <w:p w14:paraId="16C73408"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"_ednref12"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[12]</w:t>
      </w:r>
      <w:r w:rsidRPr="002F5C04">
        <w:rPr>
          <w:rFonts w:asciiTheme="majorBidi" w:eastAsia="Times New Roman" w:hAnsiTheme="majorBidi" w:cstheme="majorBidi"/>
          <w:kern w:val="0"/>
          <w14:ligatures w14:val="none"/>
        </w:rPr>
        <w:fldChar w:fldCharType="end"/>
      </w:r>
      <w:bookmarkEnd w:id="41"/>
      <w:r w:rsidRPr="002F5C04">
        <w:rPr>
          <w:rFonts w:asciiTheme="majorBidi" w:eastAsia="Times New Roman" w:hAnsiTheme="majorBidi" w:cstheme="majorBidi"/>
          <w:kern w:val="0"/>
          <w14:ligatures w14:val="none"/>
        </w:rPr>
        <w:t> Maide Suresi 89</w:t>
      </w:r>
    </w:p>
    <w:bookmarkStart w:id="42" w:name="_edn13"/>
    <w:p w14:paraId="7323D193"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"_ednref13"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[13]</w:t>
      </w:r>
      <w:r w:rsidRPr="002F5C04">
        <w:rPr>
          <w:rFonts w:asciiTheme="majorBidi" w:eastAsia="Times New Roman" w:hAnsiTheme="majorBidi" w:cstheme="majorBidi"/>
          <w:kern w:val="0"/>
          <w14:ligatures w14:val="none"/>
        </w:rPr>
        <w:fldChar w:fldCharType="end"/>
      </w:r>
      <w:bookmarkEnd w:id="42"/>
      <w:r w:rsidRPr="002F5C04">
        <w:rPr>
          <w:rFonts w:asciiTheme="majorBidi" w:eastAsia="Times New Roman" w:hAnsiTheme="majorBidi" w:cstheme="majorBidi"/>
          <w:kern w:val="0"/>
          <w14:ligatures w14:val="none"/>
        </w:rPr>
        <w:t> Mücadele Suresi 4</w:t>
      </w:r>
    </w:p>
    <w:bookmarkStart w:id="43" w:name="_edn14"/>
    <w:p w14:paraId="402BD6DC"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"_ednref14"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[14]</w:t>
      </w:r>
      <w:r w:rsidRPr="002F5C04">
        <w:rPr>
          <w:rFonts w:asciiTheme="majorBidi" w:eastAsia="Times New Roman" w:hAnsiTheme="majorBidi" w:cstheme="majorBidi"/>
          <w:kern w:val="0"/>
          <w14:ligatures w14:val="none"/>
        </w:rPr>
        <w:fldChar w:fldCharType="end"/>
      </w:r>
      <w:bookmarkEnd w:id="43"/>
      <w:r w:rsidRPr="002F5C04">
        <w:rPr>
          <w:rFonts w:asciiTheme="majorBidi" w:eastAsia="Times New Roman" w:hAnsiTheme="majorBidi" w:cstheme="majorBidi"/>
          <w:kern w:val="0"/>
          <w14:ligatures w14:val="none"/>
        </w:rPr>
        <w:t> Bakara Suresi 43</w:t>
      </w:r>
    </w:p>
    <w:bookmarkStart w:id="44" w:name="_edn15"/>
    <w:p w14:paraId="6CDE8378"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"_ednref15"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[15]</w:t>
      </w:r>
      <w:r w:rsidRPr="002F5C04">
        <w:rPr>
          <w:rFonts w:asciiTheme="majorBidi" w:eastAsia="Times New Roman" w:hAnsiTheme="majorBidi" w:cstheme="majorBidi"/>
          <w:kern w:val="0"/>
          <w14:ligatures w14:val="none"/>
        </w:rPr>
        <w:fldChar w:fldCharType="end"/>
      </w:r>
      <w:bookmarkEnd w:id="44"/>
      <w:r w:rsidRPr="002F5C04">
        <w:rPr>
          <w:rFonts w:asciiTheme="majorBidi" w:eastAsia="Times New Roman" w:hAnsiTheme="majorBidi" w:cstheme="majorBidi"/>
          <w:kern w:val="0"/>
          <w14:ligatures w14:val="none"/>
        </w:rPr>
        <w:t> Beyhaki</w:t>
      </w:r>
    </w:p>
    <w:bookmarkStart w:id="45" w:name="_edn16"/>
    <w:p w14:paraId="2F6692B9"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lastRenderedPageBreak/>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"_ednref16"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[16]</w:t>
      </w:r>
      <w:r w:rsidRPr="002F5C04">
        <w:rPr>
          <w:rFonts w:asciiTheme="majorBidi" w:eastAsia="Times New Roman" w:hAnsiTheme="majorBidi" w:cstheme="majorBidi"/>
          <w:kern w:val="0"/>
          <w14:ligatures w14:val="none"/>
        </w:rPr>
        <w:fldChar w:fldCharType="end"/>
      </w:r>
      <w:bookmarkEnd w:id="45"/>
      <w:r w:rsidRPr="002F5C04">
        <w:rPr>
          <w:rFonts w:asciiTheme="majorBidi" w:eastAsia="Times New Roman" w:hAnsiTheme="majorBidi" w:cstheme="majorBidi"/>
          <w:kern w:val="0"/>
          <w14:ligatures w14:val="none"/>
        </w:rPr>
        <w:t> Ali İmran Suresi 97</w:t>
      </w:r>
    </w:p>
    <w:bookmarkStart w:id="46" w:name="_edn17"/>
    <w:p w14:paraId="0D178E10"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"_ednref17"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[17]</w:t>
      </w:r>
      <w:r w:rsidRPr="002F5C04">
        <w:rPr>
          <w:rFonts w:asciiTheme="majorBidi" w:eastAsia="Times New Roman" w:hAnsiTheme="majorBidi" w:cstheme="majorBidi"/>
          <w:kern w:val="0"/>
          <w14:ligatures w14:val="none"/>
        </w:rPr>
        <w:fldChar w:fldCharType="end"/>
      </w:r>
      <w:bookmarkEnd w:id="46"/>
      <w:r w:rsidRPr="002F5C04">
        <w:rPr>
          <w:rFonts w:asciiTheme="majorBidi" w:eastAsia="Times New Roman" w:hAnsiTheme="majorBidi" w:cstheme="majorBidi"/>
          <w:kern w:val="0"/>
          <w14:ligatures w14:val="none"/>
        </w:rPr>
        <w:t> Ahmed, Müslim, Nesei</w:t>
      </w:r>
    </w:p>
    <w:bookmarkStart w:id="47" w:name="_edn18"/>
    <w:p w14:paraId="5BB1C0E5"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"_ednref18"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[18]</w:t>
      </w:r>
      <w:r w:rsidRPr="002F5C04">
        <w:rPr>
          <w:rFonts w:asciiTheme="majorBidi" w:eastAsia="Times New Roman" w:hAnsiTheme="majorBidi" w:cstheme="majorBidi"/>
          <w:kern w:val="0"/>
          <w14:ligatures w14:val="none"/>
        </w:rPr>
        <w:fldChar w:fldCharType="end"/>
      </w:r>
      <w:bookmarkEnd w:id="47"/>
      <w:r w:rsidRPr="002F5C04">
        <w:rPr>
          <w:rFonts w:asciiTheme="majorBidi" w:eastAsia="Times New Roman" w:hAnsiTheme="majorBidi" w:cstheme="majorBidi"/>
          <w:kern w:val="0"/>
          <w14:ligatures w14:val="none"/>
        </w:rPr>
        <w:t> Nahl Suresi 64</w:t>
      </w:r>
    </w:p>
    <w:bookmarkStart w:id="48" w:name="_edn19"/>
    <w:p w14:paraId="4D41FD2A"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"_ednref19"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[19]</w:t>
      </w:r>
      <w:r w:rsidRPr="002F5C04">
        <w:rPr>
          <w:rFonts w:asciiTheme="majorBidi" w:eastAsia="Times New Roman" w:hAnsiTheme="majorBidi" w:cstheme="majorBidi"/>
          <w:kern w:val="0"/>
          <w14:ligatures w14:val="none"/>
        </w:rPr>
        <w:fldChar w:fldCharType="end"/>
      </w:r>
      <w:bookmarkEnd w:id="48"/>
      <w:r w:rsidRPr="002F5C04">
        <w:rPr>
          <w:rFonts w:asciiTheme="majorBidi" w:eastAsia="Times New Roman" w:hAnsiTheme="majorBidi" w:cstheme="majorBidi"/>
          <w:kern w:val="0"/>
          <w14:ligatures w14:val="none"/>
        </w:rPr>
        <w:t> İsra Suresi 23</w:t>
      </w:r>
    </w:p>
    <w:bookmarkStart w:id="49" w:name="_edn20"/>
    <w:p w14:paraId="779A0447"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"_ednref20"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[20]</w:t>
      </w:r>
      <w:r w:rsidRPr="002F5C04">
        <w:rPr>
          <w:rFonts w:asciiTheme="majorBidi" w:eastAsia="Times New Roman" w:hAnsiTheme="majorBidi" w:cstheme="majorBidi"/>
          <w:kern w:val="0"/>
          <w14:ligatures w14:val="none"/>
        </w:rPr>
        <w:fldChar w:fldCharType="end"/>
      </w:r>
      <w:bookmarkEnd w:id="49"/>
      <w:r w:rsidRPr="002F5C04">
        <w:rPr>
          <w:rFonts w:asciiTheme="majorBidi" w:eastAsia="Times New Roman" w:hAnsiTheme="majorBidi" w:cstheme="majorBidi"/>
          <w:kern w:val="0"/>
          <w14:ligatures w14:val="none"/>
        </w:rPr>
        <w:t> Nisa Suresi 10</w:t>
      </w:r>
    </w:p>
    <w:bookmarkStart w:id="50" w:name="_edn21"/>
    <w:p w14:paraId="6AA317B1"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"_ednref21"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[21]</w:t>
      </w:r>
      <w:r w:rsidRPr="002F5C04">
        <w:rPr>
          <w:rFonts w:asciiTheme="majorBidi" w:eastAsia="Times New Roman" w:hAnsiTheme="majorBidi" w:cstheme="majorBidi"/>
          <w:kern w:val="0"/>
          <w14:ligatures w14:val="none"/>
        </w:rPr>
        <w:fldChar w:fldCharType="end"/>
      </w:r>
      <w:bookmarkEnd w:id="50"/>
      <w:r w:rsidRPr="002F5C04">
        <w:rPr>
          <w:rFonts w:asciiTheme="majorBidi" w:eastAsia="Times New Roman" w:hAnsiTheme="majorBidi" w:cstheme="majorBidi"/>
          <w:kern w:val="0"/>
          <w14:ligatures w14:val="none"/>
        </w:rPr>
        <w:t> Nisa Suresi 141</w:t>
      </w:r>
    </w:p>
    <w:bookmarkStart w:id="51" w:name="_edn22"/>
    <w:p w14:paraId="0DD0E3E7"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"_ednref22"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[22]</w:t>
      </w:r>
      <w:r w:rsidRPr="002F5C04">
        <w:rPr>
          <w:rFonts w:asciiTheme="majorBidi" w:eastAsia="Times New Roman" w:hAnsiTheme="majorBidi" w:cstheme="majorBidi"/>
          <w:kern w:val="0"/>
          <w14:ligatures w14:val="none"/>
        </w:rPr>
        <w:fldChar w:fldCharType="end"/>
      </w:r>
      <w:bookmarkEnd w:id="51"/>
      <w:r w:rsidRPr="002F5C04">
        <w:rPr>
          <w:rFonts w:asciiTheme="majorBidi" w:eastAsia="Times New Roman" w:hAnsiTheme="majorBidi" w:cstheme="majorBidi"/>
          <w:kern w:val="0"/>
          <w14:ligatures w14:val="none"/>
        </w:rPr>
        <w:t> İbnu Mace</w:t>
      </w:r>
    </w:p>
    <w:bookmarkStart w:id="52" w:name="_edn23"/>
    <w:p w14:paraId="21C3DF66"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"_ednref23"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[23]</w:t>
      </w:r>
      <w:r w:rsidRPr="002F5C04">
        <w:rPr>
          <w:rFonts w:asciiTheme="majorBidi" w:eastAsia="Times New Roman" w:hAnsiTheme="majorBidi" w:cstheme="majorBidi"/>
          <w:kern w:val="0"/>
          <w14:ligatures w14:val="none"/>
        </w:rPr>
        <w:fldChar w:fldCharType="end"/>
      </w:r>
      <w:bookmarkEnd w:id="52"/>
      <w:r w:rsidRPr="002F5C04">
        <w:rPr>
          <w:rFonts w:asciiTheme="majorBidi" w:eastAsia="Times New Roman" w:hAnsiTheme="majorBidi" w:cstheme="majorBidi"/>
          <w:kern w:val="0"/>
          <w14:ligatures w14:val="none"/>
        </w:rPr>
        <w:t> Ahkaf Suresi 15</w:t>
      </w:r>
    </w:p>
    <w:bookmarkStart w:id="53" w:name="_edn24"/>
    <w:p w14:paraId="725E14A8"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"_ednref24"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[24]</w:t>
      </w:r>
      <w:r w:rsidRPr="002F5C04">
        <w:rPr>
          <w:rFonts w:asciiTheme="majorBidi" w:eastAsia="Times New Roman" w:hAnsiTheme="majorBidi" w:cstheme="majorBidi"/>
          <w:kern w:val="0"/>
          <w14:ligatures w14:val="none"/>
        </w:rPr>
        <w:fldChar w:fldCharType="end"/>
      </w:r>
      <w:bookmarkEnd w:id="53"/>
      <w:r w:rsidRPr="002F5C04">
        <w:rPr>
          <w:rFonts w:asciiTheme="majorBidi" w:eastAsia="Times New Roman" w:hAnsiTheme="majorBidi" w:cstheme="majorBidi"/>
          <w:kern w:val="0"/>
          <w14:ligatures w14:val="none"/>
        </w:rPr>
        <w:t> Lokman Suresi 14</w:t>
      </w:r>
    </w:p>
    <w:bookmarkStart w:id="54" w:name="_edn25"/>
    <w:p w14:paraId="1E4B719C"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"_ednref25"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[25]</w:t>
      </w:r>
      <w:r w:rsidRPr="002F5C04">
        <w:rPr>
          <w:rFonts w:asciiTheme="majorBidi" w:eastAsia="Times New Roman" w:hAnsiTheme="majorBidi" w:cstheme="majorBidi"/>
          <w:kern w:val="0"/>
          <w14:ligatures w14:val="none"/>
        </w:rPr>
        <w:fldChar w:fldCharType="end"/>
      </w:r>
      <w:bookmarkEnd w:id="54"/>
      <w:r w:rsidRPr="002F5C04">
        <w:rPr>
          <w:rFonts w:asciiTheme="majorBidi" w:eastAsia="Times New Roman" w:hAnsiTheme="majorBidi" w:cstheme="majorBidi"/>
          <w:kern w:val="0"/>
          <w14:ligatures w14:val="none"/>
        </w:rPr>
        <w:t> Bakara Suresi 187</w:t>
      </w:r>
    </w:p>
    <w:bookmarkStart w:id="55" w:name="_edn26"/>
    <w:p w14:paraId="4F523BD2"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"_ednref26"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[26]</w:t>
      </w:r>
      <w:r w:rsidRPr="002F5C04">
        <w:rPr>
          <w:rFonts w:asciiTheme="majorBidi" w:eastAsia="Times New Roman" w:hAnsiTheme="majorBidi" w:cstheme="majorBidi"/>
          <w:kern w:val="0"/>
          <w14:ligatures w14:val="none"/>
        </w:rPr>
        <w:fldChar w:fldCharType="end"/>
      </w:r>
      <w:bookmarkEnd w:id="55"/>
      <w:r w:rsidRPr="002F5C04">
        <w:rPr>
          <w:rFonts w:asciiTheme="majorBidi" w:eastAsia="Times New Roman" w:hAnsiTheme="majorBidi" w:cstheme="majorBidi"/>
          <w:kern w:val="0"/>
          <w14:ligatures w14:val="none"/>
        </w:rPr>
        <w:t> Nisa Suresi 10</w:t>
      </w:r>
    </w:p>
    <w:bookmarkStart w:id="56" w:name="_edn27"/>
    <w:p w14:paraId="20CDD270"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"_ednref27"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[27]</w:t>
      </w:r>
      <w:r w:rsidRPr="002F5C04">
        <w:rPr>
          <w:rFonts w:asciiTheme="majorBidi" w:eastAsia="Times New Roman" w:hAnsiTheme="majorBidi" w:cstheme="majorBidi"/>
          <w:kern w:val="0"/>
          <w14:ligatures w14:val="none"/>
        </w:rPr>
        <w:fldChar w:fldCharType="end"/>
      </w:r>
      <w:bookmarkEnd w:id="56"/>
      <w:r w:rsidRPr="002F5C04">
        <w:rPr>
          <w:rFonts w:asciiTheme="majorBidi" w:eastAsia="Times New Roman" w:hAnsiTheme="majorBidi" w:cstheme="majorBidi"/>
          <w:kern w:val="0"/>
          <w14:ligatures w14:val="none"/>
        </w:rPr>
        <w:t> Ahmed</w:t>
      </w:r>
    </w:p>
    <w:bookmarkStart w:id="57" w:name="_edn28"/>
    <w:p w14:paraId="130EE2CA"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"_ednref28"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[28]</w:t>
      </w:r>
      <w:r w:rsidRPr="002F5C04">
        <w:rPr>
          <w:rFonts w:asciiTheme="majorBidi" w:eastAsia="Times New Roman" w:hAnsiTheme="majorBidi" w:cstheme="majorBidi"/>
          <w:kern w:val="0"/>
          <w14:ligatures w14:val="none"/>
        </w:rPr>
        <w:fldChar w:fldCharType="end"/>
      </w:r>
      <w:bookmarkEnd w:id="57"/>
      <w:r w:rsidRPr="002F5C04">
        <w:rPr>
          <w:rFonts w:asciiTheme="majorBidi" w:eastAsia="Times New Roman" w:hAnsiTheme="majorBidi" w:cstheme="majorBidi"/>
          <w:kern w:val="0"/>
          <w14:ligatures w14:val="none"/>
        </w:rPr>
        <w:t> Tevbe Suresi 29</w:t>
      </w:r>
    </w:p>
    <w:bookmarkStart w:id="58" w:name="_edn29"/>
    <w:p w14:paraId="3D1F1987" w14:textId="77777777" w:rsidR="00DF0121" w:rsidRPr="002F5C04" w:rsidRDefault="00DF0121" w:rsidP="00DF0121">
      <w:pPr>
        <w:shd w:val="clear" w:color="auto" w:fill="FFFFFF"/>
        <w:spacing w:before="300" w:after="150" w:line="240" w:lineRule="auto"/>
        <w:rPr>
          <w:rFonts w:asciiTheme="majorBidi" w:eastAsia="Times New Roman" w:hAnsiTheme="majorBidi" w:cstheme="majorBidi"/>
          <w:kern w:val="0"/>
          <w14:ligatures w14:val="none"/>
        </w:rPr>
      </w:pPr>
      <w:r w:rsidRPr="002F5C04">
        <w:rPr>
          <w:rFonts w:asciiTheme="majorBidi" w:eastAsia="Times New Roman" w:hAnsiTheme="majorBidi" w:cstheme="majorBidi"/>
          <w:kern w:val="0"/>
          <w14:ligatures w14:val="none"/>
        </w:rPr>
        <w:fldChar w:fldCharType="begin"/>
      </w:r>
      <w:r w:rsidRPr="002F5C04">
        <w:rPr>
          <w:rFonts w:asciiTheme="majorBidi" w:eastAsia="Times New Roman" w:hAnsiTheme="majorBidi" w:cstheme="majorBidi"/>
          <w:kern w:val="0"/>
          <w14:ligatures w14:val="none"/>
        </w:rPr>
        <w:instrText>HYPERLINK "file:///D:\\002_Kuran%20ve%20S%C3%BCnnet%20%5b%C3%96zel%20Say%C4%B1%5d\\00_KUR%E2%80%99AN%20%C4%B0L%C4%B0MLER%C4%B0%20(ULUM%E2%80%99%C3%9CL%20KUR%E2%80%99AN)_Serdar%20YILMAZ.doc" \l "_ednref29" \o ""</w:instrText>
      </w:r>
      <w:r w:rsidRPr="002F5C04">
        <w:rPr>
          <w:rFonts w:asciiTheme="majorBidi" w:eastAsia="Times New Roman" w:hAnsiTheme="majorBidi" w:cstheme="majorBidi"/>
          <w:kern w:val="0"/>
          <w14:ligatures w14:val="none"/>
        </w:rPr>
      </w:r>
      <w:r w:rsidRPr="002F5C04">
        <w:rPr>
          <w:rFonts w:asciiTheme="majorBidi" w:eastAsia="Times New Roman" w:hAnsiTheme="majorBidi" w:cstheme="majorBidi"/>
          <w:kern w:val="0"/>
          <w14:ligatures w14:val="none"/>
        </w:rPr>
        <w:fldChar w:fldCharType="separate"/>
      </w:r>
      <w:r w:rsidRPr="002F5C04">
        <w:rPr>
          <w:rFonts w:asciiTheme="majorBidi" w:eastAsia="Times New Roman" w:hAnsiTheme="majorBidi" w:cstheme="majorBidi"/>
          <w:kern w:val="0"/>
          <w14:ligatures w14:val="none"/>
        </w:rPr>
        <w:t>[29]</w:t>
      </w:r>
      <w:r w:rsidRPr="002F5C04">
        <w:rPr>
          <w:rFonts w:asciiTheme="majorBidi" w:eastAsia="Times New Roman" w:hAnsiTheme="majorBidi" w:cstheme="majorBidi"/>
          <w:kern w:val="0"/>
          <w14:ligatures w14:val="none"/>
        </w:rPr>
        <w:fldChar w:fldCharType="end"/>
      </w:r>
      <w:bookmarkEnd w:id="58"/>
      <w:r w:rsidRPr="002F5C04">
        <w:rPr>
          <w:rFonts w:asciiTheme="majorBidi" w:eastAsia="Times New Roman" w:hAnsiTheme="majorBidi" w:cstheme="majorBidi"/>
          <w:kern w:val="0"/>
          <w14:ligatures w14:val="none"/>
        </w:rPr>
        <w:t> Nur Suresi 2</w:t>
      </w:r>
    </w:p>
    <w:bookmarkEnd w:id="30"/>
    <w:p w14:paraId="0A017E84" w14:textId="77777777" w:rsidR="00561320" w:rsidRPr="002F5C04" w:rsidRDefault="00561320">
      <w:pPr>
        <w:rPr>
          <w:rFonts w:asciiTheme="majorBidi" w:hAnsiTheme="majorBidi" w:cstheme="majorBidi"/>
        </w:rPr>
      </w:pPr>
    </w:p>
    <w:sectPr w:rsidR="00561320" w:rsidRPr="002F5C04" w:rsidSect="002F5C0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8B"/>
    <w:rsid w:val="0000010F"/>
    <w:rsid w:val="00010031"/>
    <w:rsid w:val="00012A7B"/>
    <w:rsid w:val="00014EF1"/>
    <w:rsid w:val="00022125"/>
    <w:rsid w:val="000256EF"/>
    <w:rsid w:val="000261F2"/>
    <w:rsid w:val="00030A3F"/>
    <w:rsid w:val="00030EC8"/>
    <w:rsid w:val="00033655"/>
    <w:rsid w:val="000343F7"/>
    <w:rsid w:val="0004071C"/>
    <w:rsid w:val="000519E5"/>
    <w:rsid w:val="00052354"/>
    <w:rsid w:val="00054474"/>
    <w:rsid w:val="000544DF"/>
    <w:rsid w:val="00055A0B"/>
    <w:rsid w:val="000567D8"/>
    <w:rsid w:val="00062394"/>
    <w:rsid w:val="00062FD5"/>
    <w:rsid w:val="00065A49"/>
    <w:rsid w:val="00066833"/>
    <w:rsid w:val="00066E31"/>
    <w:rsid w:val="000710BC"/>
    <w:rsid w:val="00071624"/>
    <w:rsid w:val="00071A6D"/>
    <w:rsid w:val="00074750"/>
    <w:rsid w:val="000805B3"/>
    <w:rsid w:val="00081060"/>
    <w:rsid w:val="00092311"/>
    <w:rsid w:val="00092FCE"/>
    <w:rsid w:val="000A0FCA"/>
    <w:rsid w:val="000B2B16"/>
    <w:rsid w:val="000B3E96"/>
    <w:rsid w:val="000B5DF2"/>
    <w:rsid w:val="000B67E6"/>
    <w:rsid w:val="000C0FBC"/>
    <w:rsid w:val="000C3E20"/>
    <w:rsid w:val="000D6828"/>
    <w:rsid w:val="000E06E4"/>
    <w:rsid w:val="000E6615"/>
    <w:rsid w:val="000F4D18"/>
    <w:rsid w:val="000F6160"/>
    <w:rsid w:val="000F6D43"/>
    <w:rsid w:val="000F7A62"/>
    <w:rsid w:val="00100E32"/>
    <w:rsid w:val="001015F3"/>
    <w:rsid w:val="00101D27"/>
    <w:rsid w:val="00101FA0"/>
    <w:rsid w:val="00102F25"/>
    <w:rsid w:val="0010406F"/>
    <w:rsid w:val="0010449E"/>
    <w:rsid w:val="00106041"/>
    <w:rsid w:val="00111355"/>
    <w:rsid w:val="001117CC"/>
    <w:rsid w:val="00112437"/>
    <w:rsid w:val="0011275A"/>
    <w:rsid w:val="00114CD9"/>
    <w:rsid w:val="00116133"/>
    <w:rsid w:val="001179DB"/>
    <w:rsid w:val="00121555"/>
    <w:rsid w:val="00121FF8"/>
    <w:rsid w:val="00122255"/>
    <w:rsid w:val="001257BD"/>
    <w:rsid w:val="00130829"/>
    <w:rsid w:val="0013466B"/>
    <w:rsid w:val="00134D71"/>
    <w:rsid w:val="00137E4C"/>
    <w:rsid w:val="001404A7"/>
    <w:rsid w:val="00140845"/>
    <w:rsid w:val="00144F38"/>
    <w:rsid w:val="0015016D"/>
    <w:rsid w:val="00150F2A"/>
    <w:rsid w:val="00151F6B"/>
    <w:rsid w:val="00157208"/>
    <w:rsid w:val="0016121F"/>
    <w:rsid w:val="00165E7C"/>
    <w:rsid w:val="0017027C"/>
    <w:rsid w:val="00174330"/>
    <w:rsid w:val="001745E7"/>
    <w:rsid w:val="001812E5"/>
    <w:rsid w:val="00182257"/>
    <w:rsid w:val="00184A86"/>
    <w:rsid w:val="00186865"/>
    <w:rsid w:val="001A0649"/>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4244"/>
    <w:rsid w:val="002152CF"/>
    <w:rsid w:val="00225785"/>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6AC3"/>
    <w:rsid w:val="002B72CB"/>
    <w:rsid w:val="002C2C0C"/>
    <w:rsid w:val="002C5159"/>
    <w:rsid w:val="002C5367"/>
    <w:rsid w:val="002C6993"/>
    <w:rsid w:val="002D4EAA"/>
    <w:rsid w:val="002D5299"/>
    <w:rsid w:val="002E4508"/>
    <w:rsid w:val="002E7939"/>
    <w:rsid w:val="002F2E20"/>
    <w:rsid w:val="002F3659"/>
    <w:rsid w:val="002F4E09"/>
    <w:rsid w:val="002F5C04"/>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400934"/>
    <w:rsid w:val="004019C5"/>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4D01"/>
    <w:rsid w:val="004468A1"/>
    <w:rsid w:val="004538FF"/>
    <w:rsid w:val="00455D74"/>
    <w:rsid w:val="00456590"/>
    <w:rsid w:val="00466982"/>
    <w:rsid w:val="00484F80"/>
    <w:rsid w:val="0049149E"/>
    <w:rsid w:val="004928B8"/>
    <w:rsid w:val="004A2221"/>
    <w:rsid w:val="004A2FB3"/>
    <w:rsid w:val="004A42F2"/>
    <w:rsid w:val="004A46BA"/>
    <w:rsid w:val="004A4816"/>
    <w:rsid w:val="004B3C58"/>
    <w:rsid w:val="004B4685"/>
    <w:rsid w:val="004B72DA"/>
    <w:rsid w:val="004C3B40"/>
    <w:rsid w:val="004D066D"/>
    <w:rsid w:val="004D1C5F"/>
    <w:rsid w:val="004D4C25"/>
    <w:rsid w:val="004D6AD8"/>
    <w:rsid w:val="004D6C83"/>
    <w:rsid w:val="004E52FD"/>
    <w:rsid w:val="004E5ADC"/>
    <w:rsid w:val="004E7A9D"/>
    <w:rsid w:val="004F06F0"/>
    <w:rsid w:val="004F28B8"/>
    <w:rsid w:val="004F2965"/>
    <w:rsid w:val="004F358D"/>
    <w:rsid w:val="004F6012"/>
    <w:rsid w:val="004F6E0A"/>
    <w:rsid w:val="00504F64"/>
    <w:rsid w:val="0050773C"/>
    <w:rsid w:val="0052308E"/>
    <w:rsid w:val="0052693C"/>
    <w:rsid w:val="005358EE"/>
    <w:rsid w:val="00540BA3"/>
    <w:rsid w:val="00541F54"/>
    <w:rsid w:val="00542DEC"/>
    <w:rsid w:val="00545BDB"/>
    <w:rsid w:val="0055383F"/>
    <w:rsid w:val="0055543A"/>
    <w:rsid w:val="00556AA9"/>
    <w:rsid w:val="0056066B"/>
    <w:rsid w:val="00561320"/>
    <w:rsid w:val="00584786"/>
    <w:rsid w:val="00584FBA"/>
    <w:rsid w:val="005879B2"/>
    <w:rsid w:val="00593F4B"/>
    <w:rsid w:val="00594BAF"/>
    <w:rsid w:val="00595846"/>
    <w:rsid w:val="0059612A"/>
    <w:rsid w:val="005A031E"/>
    <w:rsid w:val="005A2DA4"/>
    <w:rsid w:val="005A5737"/>
    <w:rsid w:val="005B208A"/>
    <w:rsid w:val="005B59C5"/>
    <w:rsid w:val="005C2DCC"/>
    <w:rsid w:val="005C3D2E"/>
    <w:rsid w:val="005C4D21"/>
    <w:rsid w:val="005C52C0"/>
    <w:rsid w:val="005D4702"/>
    <w:rsid w:val="005D63AF"/>
    <w:rsid w:val="005D662C"/>
    <w:rsid w:val="005E18C9"/>
    <w:rsid w:val="005E1ABD"/>
    <w:rsid w:val="005E408B"/>
    <w:rsid w:val="005E6399"/>
    <w:rsid w:val="005F0214"/>
    <w:rsid w:val="005F1E39"/>
    <w:rsid w:val="005F3899"/>
    <w:rsid w:val="005F4536"/>
    <w:rsid w:val="005F6DF1"/>
    <w:rsid w:val="00601563"/>
    <w:rsid w:val="00606C1B"/>
    <w:rsid w:val="0061154B"/>
    <w:rsid w:val="00626830"/>
    <w:rsid w:val="0065358E"/>
    <w:rsid w:val="00654485"/>
    <w:rsid w:val="00654A63"/>
    <w:rsid w:val="006553FF"/>
    <w:rsid w:val="00661F91"/>
    <w:rsid w:val="00662E68"/>
    <w:rsid w:val="006649FE"/>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E2E"/>
    <w:rsid w:val="006E55F9"/>
    <w:rsid w:val="006F0715"/>
    <w:rsid w:val="006F1277"/>
    <w:rsid w:val="006F22DB"/>
    <w:rsid w:val="006F5330"/>
    <w:rsid w:val="006F774A"/>
    <w:rsid w:val="00706C49"/>
    <w:rsid w:val="00712433"/>
    <w:rsid w:val="0071746C"/>
    <w:rsid w:val="00717B1F"/>
    <w:rsid w:val="00720346"/>
    <w:rsid w:val="00725197"/>
    <w:rsid w:val="00730BBE"/>
    <w:rsid w:val="0073505A"/>
    <w:rsid w:val="007358ED"/>
    <w:rsid w:val="00736F64"/>
    <w:rsid w:val="00740469"/>
    <w:rsid w:val="0074223A"/>
    <w:rsid w:val="00745CCF"/>
    <w:rsid w:val="00750DBB"/>
    <w:rsid w:val="00752D30"/>
    <w:rsid w:val="00760864"/>
    <w:rsid w:val="007627F0"/>
    <w:rsid w:val="007637DF"/>
    <w:rsid w:val="0076518C"/>
    <w:rsid w:val="00765B92"/>
    <w:rsid w:val="00766397"/>
    <w:rsid w:val="0076771B"/>
    <w:rsid w:val="007730D1"/>
    <w:rsid w:val="007766FF"/>
    <w:rsid w:val="0077697B"/>
    <w:rsid w:val="00777336"/>
    <w:rsid w:val="00782FEF"/>
    <w:rsid w:val="00785799"/>
    <w:rsid w:val="00785D67"/>
    <w:rsid w:val="00794D39"/>
    <w:rsid w:val="00797DD9"/>
    <w:rsid w:val="00797ED9"/>
    <w:rsid w:val="007A1C7E"/>
    <w:rsid w:val="007B1588"/>
    <w:rsid w:val="007B22F7"/>
    <w:rsid w:val="007B657E"/>
    <w:rsid w:val="007C6019"/>
    <w:rsid w:val="007D1850"/>
    <w:rsid w:val="007D23F6"/>
    <w:rsid w:val="007D4488"/>
    <w:rsid w:val="007D4AB8"/>
    <w:rsid w:val="007D60C8"/>
    <w:rsid w:val="007E7962"/>
    <w:rsid w:val="007F2929"/>
    <w:rsid w:val="007F2C52"/>
    <w:rsid w:val="007F5C95"/>
    <w:rsid w:val="007F749B"/>
    <w:rsid w:val="0080315A"/>
    <w:rsid w:val="00805D44"/>
    <w:rsid w:val="00807DE7"/>
    <w:rsid w:val="0081069C"/>
    <w:rsid w:val="00811660"/>
    <w:rsid w:val="008151BB"/>
    <w:rsid w:val="00820333"/>
    <w:rsid w:val="00822C7A"/>
    <w:rsid w:val="00826D53"/>
    <w:rsid w:val="00833C96"/>
    <w:rsid w:val="00837692"/>
    <w:rsid w:val="00840A20"/>
    <w:rsid w:val="00841F4A"/>
    <w:rsid w:val="008466A7"/>
    <w:rsid w:val="0085002F"/>
    <w:rsid w:val="0086400B"/>
    <w:rsid w:val="0086453A"/>
    <w:rsid w:val="00864CFE"/>
    <w:rsid w:val="008706F2"/>
    <w:rsid w:val="008718DB"/>
    <w:rsid w:val="0087252B"/>
    <w:rsid w:val="0087591F"/>
    <w:rsid w:val="00881614"/>
    <w:rsid w:val="00883418"/>
    <w:rsid w:val="00887D6D"/>
    <w:rsid w:val="0089014B"/>
    <w:rsid w:val="008935D3"/>
    <w:rsid w:val="00893839"/>
    <w:rsid w:val="008951D1"/>
    <w:rsid w:val="008961AD"/>
    <w:rsid w:val="008A0B7D"/>
    <w:rsid w:val="008A37FC"/>
    <w:rsid w:val="008A408D"/>
    <w:rsid w:val="008A4BBC"/>
    <w:rsid w:val="008A7479"/>
    <w:rsid w:val="008C0F1A"/>
    <w:rsid w:val="008C24EF"/>
    <w:rsid w:val="008C33B5"/>
    <w:rsid w:val="008C416C"/>
    <w:rsid w:val="008C4A2D"/>
    <w:rsid w:val="008D1D4B"/>
    <w:rsid w:val="008D3151"/>
    <w:rsid w:val="008D4921"/>
    <w:rsid w:val="008D7BD3"/>
    <w:rsid w:val="008E101B"/>
    <w:rsid w:val="008E15E1"/>
    <w:rsid w:val="008E2992"/>
    <w:rsid w:val="008F14D2"/>
    <w:rsid w:val="008F4E4A"/>
    <w:rsid w:val="008F64F6"/>
    <w:rsid w:val="008F6F35"/>
    <w:rsid w:val="009006BD"/>
    <w:rsid w:val="009044B8"/>
    <w:rsid w:val="009052A6"/>
    <w:rsid w:val="00911346"/>
    <w:rsid w:val="009172C7"/>
    <w:rsid w:val="0092317E"/>
    <w:rsid w:val="009306A7"/>
    <w:rsid w:val="00931776"/>
    <w:rsid w:val="00933CA0"/>
    <w:rsid w:val="0093547B"/>
    <w:rsid w:val="009366CD"/>
    <w:rsid w:val="00936924"/>
    <w:rsid w:val="009370B2"/>
    <w:rsid w:val="00937681"/>
    <w:rsid w:val="009424AF"/>
    <w:rsid w:val="00945AA9"/>
    <w:rsid w:val="00945F35"/>
    <w:rsid w:val="00946536"/>
    <w:rsid w:val="00955321"/>
    <w:rsid w:val="00955EEC"/>
    <w:rsid w:val="0096241E"/>
    <w:rsid w:val="009770DE"/>
    <w:rsid w:val="00980CBE"/>
    <w:rsid w:val="00981E99"/>
    <w:rsid w:val="00983A1A"/>
    <w:rsid w:val="00990FEE"/>
    <w:rsid w:val="009943A4"/>
    <w:rsid w:val="0099686C"/>
    <w:rsid w:val="009A2264"/>
    <w:rsid w:val="009A342F"/>
    <w:rsid w:val="009B0831"/>
    <w:rsid w:val="009B288B"/>
    <w:rsid w:val="009B5AE1"/>
    <w:rsid w:val="009B6B29"/>
    <w:rsid w:val="009B729D"/>
    <w:rsid w:val="009C1DC5"/>
    <w:rsid w:val="009C495C"/>
    <w:rsid w:val="009C4A80"/>
    <w:rsid w:val="009D408F"/>
    <w:rsid w:val="009D5E16"/>
    <w:rsid w:val="009E0131"/>
    <w:rsid w:val="009E2D8D"/>
    <w:rsid w:val="009E5E3D"/>
    <w:rsid w:val="009F0843"/>
    <w:rsid w:val="009F2F19"/>
    <w:rsid w:val="009F2F99"/>
    <w:rsid w:val="009F471C"/>
    <w:rsid w:val="009F6262"/>
    <w:rsid w:val="00A0229C"/>
    <w:rsid w:val="00A10ECC"/>
    <w:rsid w:val="00A11269"/>
    <w:rsid w:val="00A12B50"/>
    <w:rsid w:val="00A13740"/>
    <w:rsid w:val="00A150DD"/>
    <w:rsid w:val="00A277CC"/>
    <w:rsid w:val="00A3572E"/>
    <w:rsid w:val="00A408CE"/>
    <w:rsid w:val="00A42F4A"/>
    <w:rsid w:val="00A4333E"/>
    <w:rsid w:val="00A4588B"/>
    <w:rsid w:val="00A463DA"/>
    <w:rsid w:val="00A533FA"/>
    <w:rsid w:val="00A54473"/>
    <w:rsid w:val="00A63316"/>
    <w:rsid w:val="00A64D62"/>
    <w:rsid w:val="00A70E50"/>
    <w:rsid w:val="00A71240"/>
    <w:rsid w:val="00A91C13"/>
    <w:rsid w:val="00A92DC6"/>
    <w:rsid w:val="00A9312A"/>
    <w:rsid w:val="00A94291"/>
    <w:rsid w:val="00A955CE"/>
    <w:rsid w:val="00A96000"/>
    <w:rsid w:val="00A96ACC"/>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3F61"/>
    <w:rsid w:val="00B56013"/>
    <w:rsid w:val="00B620C1"/>
    <w:rsid w:val="00B6552F"/>
    <w:rsid w:val="00B66146"/>
    <w:rsid w:val="00B67ABD"/>
    <w:rsid w:val="00B7139D"/>
    <w:rsid w:val="00B819DE"/>
    <w:rsid w:val="00B91E2E"/>
    <w:rsid w:val="00B944E9"/>
    <w:rsid w:val="00B96099"/>
    <w:rsid w:val="00B976C2"/>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403F9"/>
    <w:rsid w:val="00C414CD"/>
    <w:rsid w:val="00C47A5E"/>
    <w:rsid w:val="00C52D90"/>
    <w:rsid w:val="00C5471C"/>
    <w:rsid w:val="00C56063"/>
    <w:rsid w:val="00C61C5F"/>
    <w:rsid w:val="00C6252F"/>
    <w:rsid w:val="00C63A94"/>
    <w:rsid w:val="00C640EB"/>
    <w:rsid w:val="00C67D89"/>
    <w:rsid w:val="00C714A9"/>
    <w:rsid w:val="00C808A7"/>
    <w:rsid w:val="00C8178C"/>
    <w:rsid w:val="00C81B80"/>
    <w:rsid w:val="00C83D1D"/>
    <w:rsid w:val="00C86137"/>
    <w:rsid w:val="00C913A4"/>
    <w:rsid w:val="00C95FA9"/>
    <w:rsid w:val="00C96021"/>
    <w:rsid w:val="00C96505"/>
    <w:rsid w:val="00C96D0C"/>
    <w:rsid w:val="00CA0A71"/>
    <w:rsid w:val="00CA31C9"/>
    <w:rsid w:val="00CA357C"/>
    <w:rsid w:val="00CA65B4"/>
    <w:rsid w:val="00CA69FF"/>
    <w:rsid w:val="00CA7B7A"/>
    <w:rsid w:val="00CA7DE9"/>
    <w:rsid w:val="00CB225D"/>
    <w:rsid w:val="00CB32F2"/>
    <w:rsid w:val="00CB390F"/>
    <w:rsid w:val="00CB4666"/>
    <w:rsid w:val="00CB4DC8"/>
    <w:rsid w:val="00CB4FF4"/>
    <w:rsid w:val="00CC3058"/>
    <w:rsid w:val="00CC3F79"/>
    <w:rsid w:val="00CC618E"/>
    <w:rsid w:val="00CD73CD"/>
    <w:rsid w:val="00CD7C38"/>
    <w:rsid w:val="00CE665A"/>
    <w:rsid w:val="00CF0629"/>
    <w:rsid w:val="00CF137D"/>
    <w:rsid w:val="00D01B1E"/>
    <w:rsid w:val="00D034B2"/>
    <w:rsid w:val="00D11F37"/>
    <w:rsid w:val="00D133C1"/>
    <w:rsid w:val="00D16D7D"/>
    <w:rsid w:val="00D21AF5"/>
    <w:rsid w:val="00D25419"/>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665"/>
    <w:rsid w:val="00DB1136"/>
    <w:rsid w:val="00DB3F12"/>
    <w:rsid w:val="00DB5FD6"/>
    <w:rsid w:val="00DC0DF5"/>
    <w:rsid w:val="00DC12C0"/>
    <w:rsid w:val="00DC451E"/>
    <w:rsid w:val="00DC6B15"/>
    <w:rsid w:val="00DD14B9"/>
    <w:rsid w:val="00DD2608"/>
    <w:rsid w:val="00DD6E3D"/>
    <w:rsid w:val="00DD7C8B"/>
    <w:rsid w:val="00DF0121"/>
    <w:rsid w:val="00DF7E69"/>
    <w:rsid w:val="00E00B8C"/>
    <w:rsid w:val="00E0370D"/>
    <w:rsid w:val="00E04135"/>
    <w:rsid w:val="00E065EF"/>
    <w:rsid w:val="00E1161B"/>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E4F9A"/>
    <w:rsid w:val="00EE6930"/>
    <w:rsid w:val="00EF28A5"/>
    <w:rsid w:val="00EF4B9C"/>
    <w:rsid w:val="00F019B7"/>
    <w:rsid w:val="00F06317"/>
    <w:rsid w:val="00F105A2"/>
    <w:rsid w:val="00F1104E"/>
    <w:rsid w:val="00F11A18"/>
    <w:rsid w:val="00F1347F"/>
    <w:rsid w:val="00F13C68"/>
    <w:rsid w:val="00F14E65"/>
    <w:rsid w:val="00F23ED9"/>
    <w:rsid w:val="00F26CE4"/>
    <w:rsid w:val="00F3481D"/>
    <w:rsid w:val="00F54886"/>
    <w:rsid w:val="00F55ADA"/>
    <w:rsid w:val="00F60310"/>
    <w:rsid w:val="00F61563"/>
    <w:rsid w:val="00F631F7"/>
    <w:rsid w:val="00F63EF0"/>
    <w:rsid w:val="00F6683D"/>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71807-E6AB-4E36-924E-08AFE985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2595610">
      <w:bodyDiv w:val="1"/>
      <w:marLeft w:val="0"/>
      <w:marRight w:val="0"/>
      <w:marTop w:val="0"/>
      <w:marBottom w:val="0"/>
      <w:divBdr>
        <w:top w:val="none" w:sz="0" w:space="0" w:color="auto"/>
        <w:left w:val="none" w:sz="0" w:space="0" w:color="auto"/>
        <w:bottom w:val="none" w:sz="0" w:space="0" w:color="auto"/>
        <w:right w:val="none" w:sz="0" w:space="0" w:color="auto"/>
      </w:divBdr>
      <w:divsChild>
        <w:div w:id="1222061391">
          <w:marLeft w:val="-225"/>
          <w:marRight w:val="-225"/>
          <w:marTop w:val="0"/>
          <w:marBottom w:val="0"/>
          <w:divBdr>
            <w:top w:val="none" w:sz="0" w:space="0" w:color="auto"/>
            <w:left w:val="none" w:sz="0" w:space="0" w:color="auto"/>
            <w:bottom w:val="none" w:sz="0" w:space="0" w:color="auto"/>
            <w:right w:val="none" w:sz="0" w:space="0" w:color="auto"/>
          </w:divBdr>
          <w:divsChild>
            <w:div w:id="997921785">
              <w:marLeft w:val="0"/>
              <w:marRight w:val="0"/>
              <w:marTop w:val="0"/>
              <w:marBottom w:val="0"/>
              <w:divBdr>
                <w:top w:val="none" w:sz="0" w:space="0" w:color="auto"/>
                <w:left w:val="none" w:sz="0" w:space="0" w:color="auto"/>
                <w:bottom w:val="none" w:sz="0" w:space="0" w:color="auto"/>
                <w:right w:val="none" w:sz="0" w:space="0" w:color="auto"/>
              </w:divBdr>
            </w:div>
          </w:divsChild>
        </w:div>
        <w:div w:id="1964845756">
          <w:marLeft w:val="-225"/>
          <w:marRight w:val="-225"/>
          <w:marTop w:val="450"/>
          <w:marBottom w:val="0"/>
          <w:divBdr>
            <w:top w:val="none" w:sz="0" w:space="0" w:color="auto"/>
            <w:left w:val="none" w:sz="0" w:space="0" w:color="auto"/>
            <w:bottom w:val="none" w:sz="0" w:space="0" w:color="auto"/>
            <w:right w:val="none" w:sz="0" w:space="0" w:color="auto"/>
          </w:divBdr>
          <w:divsChild>
            <w:div w:id="438644272">
              <w:marLeft w:val="0"/>
              <w:marRight w:val="0"/>
              <w:marTop w:val="0"/>
              <w:marBottom w:val="0"/>
              <w:divBdr>
                <w:top w:val="none" w:sz="0" w:space="0" w:color="auto"/>
                <w:left w:val="none" w:sz="0" w:space="0" w:color="auto"/>
                <w:bottom w:val="none" w:sz="0" w:space="0" w:color="auto"/>
                <w:right w:val="none" w:sz="0" w:space="0" w:color="auto"/>
              </w:divBdr>
              <w:divsChild>
                <w:div w:id="833689285">
                  <w:marLeft w:val="0"/>
                  <w:marRight w:val="0"/>
                  <w:marTop w:val="0"/>
                  <w:marBottom w:val="0"/>
                  <w:divBdr>
                    <w:top w:val="none" w:sz="0" w:space="0" w:color="auto"/>
                    <w:left w:val="none" w:sz="0" w:space="0" w:color="auto"/>
                    <w:bottom w:val="none" w:sz="0" w:space="0" w:color="auto"/>
                    <w:right w:val="none" w:sz="0" w:space="0" w:color="auto"/>
                  </w:divBdr>
                  <w:divsChild>
                    <w:div w:id="1218589026">
                      <w:marLeft w:val="0"/>
                      <w:marRight w:val="0"/>
                      <w:marTop w:val="0"/>
                      <w:marBottom w:val="0"/>
                      <w:divBdr>
                        <w:top w:val="none" w:sz="0" w:space="0" w:color="auto"/>
                        <w:left w:val="none" w:sz="0" w:space="0" w:color="auto"/>
                        <w:bottom w:val="none" w:sz="0" w:space="0" w:color="auto"/>
                        <w:right w:val="none" w:sz="0" w:space="0" w:color="auto"/>
                      </w:divBdr>
                    </w:div>
                    <w:div w:id="284891061">
                      <w:marLeft w:val="0"/>
                      <w:marRight w:val="0"/>
                      <w:marTop w:val="0"/>
                      <w:marBottom w:val="0"/>
                      <w:divBdr>
                        <w:top w:val="none" w:sz="0" w:space="0" w:color="auto"/>
                        <w:left w:val="none" w:sz="0" w:space="0" w:color="auto"/>
                        <w:bottom w:val="none" w:sz="0" w:space="0" w:color="auto"/>
                        <w:right w:val="none" w:sz="0" w:space="0" w:color="auto"/>
                      </w:divBdr>
                    </w:div>
                    <w:div w:id="473104388">
                      <w:marLeft w:val="0"/>
                      <w:marRight w:val="0"/>
                      <w:marTop w:val="0"/>
                      <w:marBottom w:val="0"/>
                      <w:divBdr>
                        <w:top w:val="none" w:sz="0" w:space="0" w:color="auto"/>
                        <w:left w:val="none" w:sz="0" w:space="0" w:color="auto"/>
                        <w:bottom w:val="none" w:sz="0" w:space="0" w:color="auto"/>
                        <w:right w:val="none" w:sz="0" w:space="0" w:color="auto"/>
                      </w:divBdr>
                    </w:div>
                    <w:div w:id="391126780">
                      <w:marLeft w:val="0"/>
                      <w:marRight w:val="0"/>
                      <w:marTop w:val="0"/>
                      <w:marBottom w:val="0"/>
                      <w:divBdr>
                        <w:top w:val="none" w:sz="0" w:space="0" w:color="auto"/>
                        <w:left w:val="none" w:sz="0" w:space="0" w:color="auto"/>
                        <w:bottom w:val="none" w:sz="0" w:space="0" w:color="auto"/>
                        <w:right w:val="none" w:sz="0" w:space="0" w:color="auto"/>
                      </w:divBdr>
                    </w:div>
                    <w:div w:id="991327580">
                      <w:marLeft w:val="0"/>
                      <w:marRight w:val="0"/>
                      <w:marTop w:val="0"/>
                      <w:marBottom w:val="0"/>
                      <w:divBdr>
                        <w:top w:val="none" w:sz="0" w:space="0" w:color="auto"/>
                        <w:left w:val="none" w:sz="0" w:space="0" w:color="auto"/>
                        <w:bottom w:val="none" w:sz="0" w:space="0" w:color="auto"/>
                        <w:right w:val="none" w:sz="0" w:space="0" w:color="auto"/>
                      </w:divBdr>
                    </w:div>
                    <w:div w:id="1663775399">
                      <w:marLeft w:val="0"/>
                      <w:marRight w:val="0"/>
                      <w:marTop w:val="0"/>
                      <w:marBottom w:val="0"/>
                      <w:divBdr>
                        <w:top w:val="none" w:sz="0" w:space="0" w:color="auto"/>
                        <w:left w:val="none" w:sz="0" w:space="0" w:color="auto"/>
                        <w:bottom w:val="none" w:sz="0" w:space="0" w:color="auto"/>
                        <w:right w:val="none" w:sz="0" w:space="0" w:color="auto"/>
                      </w:divBdr>
                    </w:div>
                    <w:div w:id="924143281">
                      <w:marLeft w:val="0"/>
                      <w:marRight w:val="0"/>
                      <w:marTop w:val="0"/>
                      <w:marBottom w:val="0"/>
                      <w:divBdr>
                        <w:top w:val="none" w:sz="0" w:space="0" w:color="auto"/>
                        <w:left w:val="none" w:sz="0" w:space="0" w:color="auto"/>
                        <w:bottom w:val="none" w:sz="0" w:space="0" w:color="auto"/>
                        <w:right w:val="none" w:sz="0" w:space="0" w:color="auto"/>
                      </w:divBdr>
                    </w:div>
                    <w:div w:id="58065766">
                      <w:marLeft w:val="0"/>
                      <w:marRight w:val="0"/>
                      <w:marTop w:val="0"/>
                      <w:marBottom w:val="0"/>
                      <w:divBdr>
                        <w:top w:val="none" w:sz="0" w:space="0" w:color="auto"/>
                        <w:left w:val="none" w:sz="0" w:space="0" w:color="auto"/>
                        <w:bottom w:val="none" w:sz="0" w:space="0" w:color="auto"/>
                        <w:right w:val="none" w:sz="0" w:space="0" w:color="auto"/>
                      </w:divBdr>
                    </w:div>
                    <w:div w:id="1647706446">
                      <w:marLeft w:val="0"/>
                      <w:marRight w:val="0"/>
                      <w:marTop w:val="0"/>
                      <w:marBottom w:val="0"/>
                      <w:divBdr>
                        <w:top w:val="none" w:sz="0" w:space="0" w:color="auto"/>
                        <w:left w:val="none" w:sz="0" w:space="0" w:color="auto"/>
                        <w:bottom w:val="none" w:sz="0" w:space="0" w:color="auto"/>
                        <w:right w:val="none" w:sz="0" w:space="0" w:color="auto"/>
                      </w:divBdr>
                    </w:div>
                    <w:div w:id="444472550">
                      <w:marLeft w:val="0"/>
                      <w:marRight w:val="0"/>
                      <w:marTop w:val="0"/>
                      <w:marBottom w:val="0"/>
                      <w:divBdr>
                        <w:top w:val="none" w:sz="0" w:space="0" w:color="auto"/>
                        <w:left w:val="none" w:sz="0" w:space="0" w:color="auto"/>
                        <w:bottom w:val="none" w:sz="0" w:space="0" w:color="auto"/>
                        <w:right w:val="none" w:sz="0" w:space="0" w:color="auto"/>
                      </w:divBdr>
                    </w:div>
                    <w:div w:id="587226364">
                      <w:marLeft w:val="0"/>
                      <w:marRight w:val="0"/>
                      <w:marTop w:val="0"/>
                      <w:marBottom w:val="0"/>
                      <w:divBdr>
                        <w:top w:val="none" w:sz="0" w:space="0" w:color="auto"/>
                        <w:left w:val="none" w:sz="0" w:space="0" w:color="auto"/>
                        <w:bottom w:val="none" w:sz="0" w:space="0" w:color="auto"/>
                        <w:right w:val="none" w:sz="0" w:space="0" w:color="auto"/>
                      </w:divBdr>
                    </w:div>
                    <w:div w:id="1359165335">
                      <w:marLeft w:val="0"/>
                      <w:marRight w:val="0"/>
                      <w:marTop w:val="0"/>
                      <w:marBottom w:val="0"/>
                      <w:divBdr>
                        <w:top w:val="none" w:sz="0" w:space="0" w:color="auto"/>
                        <w:left w:val="none" w:sz="0" w:space="0" w:color="auto"/>
                        <w:bottom w:val="none" w:sz="0" w:space="0" w:color="auto"/>
                        <w:right w:val="none" w:sz="0" w:space="0" w:color="auto"/>
                      </w:divBdr>
                    </w:div>
                    <w:div w:id="596985346">
                      <w:marLeft w:val="0"/>
                      <w:marRight w:val="0"/>
                      <w:marTop w:val="0"/>
                      <w:marBottom w:val="0"/>
                      <w:divBdr>
                        <w:top w:val="none" w:sz="0" w:space="0" w:color="auto"/>
                        <w:left w:val="none" w:sz="0" w:space="0" w:color="auto"/>
                        <w:bottom w:val="none" w:sz="0" w:space="0" w:color="auto"/>
                        <w:right w:val="none" w:sz="0" w:space="0" w:color="auto"/>
                      </w:divBdr>
                    </w:div>
                    <w:div w:id="1393848147">
                      <w:marLeft w:val="0"/>
                      <w:marRight w:val="0"/>
                      <w:marTop w:val="0"/>
                      <w:marBottom w:val="0"/>
                      <w:divBdr>
                        <w:top w:val="none" w:sz="0" w:space="0" w:color="auto"/>
                        <w:left w:val="none" w:sz="0" w:space="0" w:color="auto"/>
                        <w:bottom w:val="none" w:sz="0" w:space="0" w:color="auto"/>
                        <w:right w:val="none" w:sz="0" w:space="0" w:color="auto"/>
                      </w:divBdr>
                    </w:div>
                    <w:div w:id="1712801278">
                      <w:marLeft w:val="0"/>
                      <w:marRight w:val="0"/>
                      <w:marTop w:val="0"/>
                      <w:marBottom w:val="0"/>
                      <w:divBdr>
                        <w:top w:val="none" w:sz="0" w:space="0" w:color="auto"/>
                        <w:left w:val="none" w:sz="0" w:space="0" w:color="auto"/>
                        <w:bottom w:val="none" w:sz="0" w:space="0" w:color="auto"/>
                        <w:right w:val="none" w:sz="0" w:space="0" w:color="auto"/>
                      </w:divBdr>
                    </w:div>
                    <w:div w:id="794981980">
                      <w:marLeft w:val="0"/>
                      <w:marRight w:val="0"/>
                      <w:marTop w:val="0"/>
                      <w:marBottom w:val="0"/>
                      <w:divBdr>
                        <w:top w:val="none" w:sz="0" w:space="0" w:color="auto"/>
                        <w:left w:val="none" w:sz="0" w:space="0" w:color="auto"/>
                        <w:bottom w:val="none" w:sz="0" w:space="0" w:color="auto"/>
                        <w:right w:val="none" w:sz="0" w:space="0" w:color="auto"/>
                      </w:divBdr>
                    </w:div>
                    <w:div w:id="1500467719">
                      <w:marLeft w:val="0"/>
                      <w:marRight w:val="0"/>
                      <w:marTop w:val="0"/>
                      <w:marBottom w:val="0"/>
                      <w:divBdr>
                        <w:top w:val="none" w:sz="0" w:space="0" w:color="auto"/>
                        <w:left w:val="none" w:sz="0" w:space="0" w:color="auto"/>
                        <w:bottom w:val="none" w:sz="0" w:space="0" w:color="auto"/>
                        <w:right w:val="none" w:sz="0" w:space="0" w:color="auto"/>
                      </w:divBdr>
                    </w:div>
                    <w:div w:id="1889142734">
                      <w:marLeft w:val="0"/>
                      <w:marRight w:val="0"/>
                      <w:marTop w:val="0"/>
                      <w:marBottom w:val="0"/>
                      <w:divBdr>
                        <w:top w:val="none" w:sz="0" w:space="0" w:color="auto"/>
                        <w:left w:val="none" w:sz="0" w:space="0" w:color="auto"/>
                        <w:bottom w:val="none" w:sz="0" w:space="0" w:color="auto"/>
                        <w:right w:val="none" w:sz="0" w:space="0" w:color="auto"/>
                      </w:divBdr>
                    </w:div>
                    <w:div w:id="1781952938">
                      <w:marLeft w:val="0"/>
                      <w:marRight w:val="0"/>
                      <w:marTop w:val="0"/>
                      <w:marBottom w:val="0"/>
                      <w:divBdr>
                        <w:top w:val="none" w:sz="0" w:space="0" w:color="auto"/>
                        <w:left w:val="none" w:sz="0" w:space="0" w:color="auto"/>
                        <w:bottom w:val="none" w:sz="0" w:space="0" w:color="auto"/>
                        <w:right w:val="none" w:sz="0" w:space="0" w:color="auto"/>
                      </w:divBdr>
                    </w:div>
                    <w:div w:id="850723816">
                      <w:marLeft w:val="0"/>
                      <w:marRight w:val="0"/>
                      <w:marTop w:val="0"/>
                      <w:marBottom w:val="0"/>
                      <w:divBdr>
                        <w:top w:val="none" w:sz="0" w:space="0" w:color="auto"/>
                        <w:left w:val="none" w:sz="0" w:space="0" w:color="auto"/>
                        <w:bottom w:val="none" w:sz="0" w:space="0" w:color="auto"/>
                        <w:right w:val="none" w:sz="0" w:space="0" w:color="auto"/>
                      </w:divBdr>
                    </w:div>
                    <w:div w:id="1379160337">
                      <w:marLeft w:val="0"/>
                      <w:marRight w:val="0"/>
                      <w:marTop w:val="0"/>
                      <w:marBottom w:val="0"/>
                      <w:divBdr>
                        <w:top w:val="none" w:sz="0" w:space="0" w:color="auto"/>
                        <w:left w:val="none" w:sz="0" w:space="0" w:color="auto"/>
                        <w:bottom w:val="none" w:sz="0" w:space="0" w:color="auto"/>
                        <w:right w:val="none" w:sz="0" w:space="0" w:color="auto"/>
                      </w:divBdr>
                    </w:div>
                    <w:div w:id="647056850">
                      <w:marLeft w:val="0"/>
                      <w:marRight w:val="0"/>
                      <w:marTop w:val="0"/>
                      <w:marBottom w:val="0"/>
                      <w:divBdr>
                        <w:top w:val="none" w:sz="0" w:space="0" w:color="auto"/>
                        <w:left w:val="none" w:sz="0" w:space="0" w:color="auto"/>
                        <w:bottom w:val="none" w:sz="0" w:space="0" w:color="auto"/>
                        <w:right w:val="none" w:sz="0" w:space="0" w:color="auto"/>
                      </w:divBdr>
                    </w:div>
                    <w:div w:id="558367393">
                      <w:marLeft w:val="0"/>
                      <w:marRight w:val="0"/>
                      <w:marTop w:val="0"/>
                      <w:marBottom w:val="0"/>
                      <w:divBdr>
                        <w:top w:val="none" w:sz="0" w:space="0" w:color="auto"/>
                        <w:left w:val="none" w:sz="0" w:space="0" w:color="auto"/>
                        <w:bottom w:val="none" w:sz="0" w:space="0" w:color="auto"/>
                        <w:right w:val="none" w:sz="0" w:space="0" w:color="auto"/>
                      </w:divBdr>
                    </w:div>
                    <w:div w:id="1468862190">
                      <w:marLeft w:val="0"/>
                      <w:marRight w:val="0"/>
                      <w:marTop w:val="0"/>
                      <w:marBottom w:val="0"/>
                      <w:divBdr>
                        <w:top w:val="none" w:sz="0" w:space="0" w:color="auto"/>
                        <w:left w:val="none" w:sz="0" w:space="0" w:color="auto"/>
                        <w:bottom w:val="none" w:sz="0" w:space="0" w:color="auto"/>
                        <w:right w:val="none" w:sz="0" w:space="0" w:color="auto"/>
                      </w:divBdr>
                    </w:div>
                    <w:div w:id="1181310701">
                      <w:marLeft w:val="0"/>
                      <w:marRight w:val="0"/>
                      <w:marTop w:val="0"/>
                      <w:marBottom w:val="0"/>
                      <w:divBdr>
                        <w:top w:val="none" w:sz="0" w:space="0" w:color="auto"/>
                        <w:left w:val="none" w:sz="0" w:space="0" w:color="auto"/>
                        <w:bottom w:val="none" w:sz="0" w:space="0" w:color="auto"/>
                        <w:right w:val="none" w:sz="0" w:space="0" w:color="auto"/>
                      </w:divBdr>
                    </w:div>
                    <w:div w:id="1502355995">
                      <w:marLeft w:val="0"/>
                      <w:marRight w:val="0"/>
                      <w:marTop w:val="0"/>
                      <w:marBottom w:val="0"/>
                      <w:divBdr>
                        <w:top w:val="none" w:sz="0" w:space="0" w:color="auto"/>
                        <w:left w:val="none" w:sz="0" w:space="0" w:color="auto"/>
                        <w:bottom w:val="none" w:sz="0" w:space="0" w:color="auto"/>
                        <w:right w:val="none" w:sz="0" w:space="0" w:color="auto"/>
                      </w:divBdr>
                    </w:div>
                    <w:div w:id="2830671">
                      <w:marLeft w:val="0"/>
                      <w:marRight w:val="0"/>
                      <w:marTop w:val="0"/>
                      <w:marBottom w:val="0"/>
                      <w:divBdr>
                        <w:top w:val="none" w:sz="0" w:space="0" w:color="auto"/>
                        <w:left w:val="none" w:sz="0" w:space="0" w:color="auto"/>
                        <w:bottom w:val="none" w:sz="0" w:space="0" w:color="auto"/>
                        <w:right w:val="none" w:sz="0" w:space="0" w:color="auto"/>
                      </w:divBdr>
                    </w:div>
                    <w:div w:id="1191534495">
                      <w:marLeft w:val="0"/>
                      <w:marRight w:val="0"/>
                      <w:marTop w:val="0"/>
                      <w:marBottom w:val="0"/>
                      <w:divBdr>
                        <w:top w:val="none" w:sz="0" w:space="0" w:color="auto"/>
                        <w:left w:val="none" w:sz="0" w:space="0" w:color="auto"/>
                        <w:bottom w:val="none" w:sz="0" w:space="0" w:color="auto"/>
                        <w:right w:val="none" w:sz="0" w:space="0" w:color="auto"/>
                      </w:divBdr>
                    </w:div>
                    <w:div w:id="17288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4347</Words>
  <Characters>27433</Characters>
  <Application>Microsoft Office Word</Application>
  <DocSecurity>0</DocSecurity>
  <Lines>517</Lines>
  <Paragraphs>299</Paragraphs>
  <ScaleCrop>false</ScaleCrop>
  <Company/>
  <LinksUpToDate>false</LinksUpToDate>
  <CharactersWithSpaces>31481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7</cp:revision>
  <dcterms:created xsi:type="dcterms:W3CDTF">2025-11-26T09:56:00Z</dcterms:created>
  <dcterms:modified xsi:type="dcterms:W3CDTF">2026-03-25T10:00:00Z</dcterms:modified>
</cp:coreProperties>
</file>