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uppressLineNumbers w:val="0"/>
        <w:suppressAutoHyphens w:val="false"/>
        <w:ind w:hanging="0" w:left="0"/>
        <w:jc w:val="center"/>
        <w:outlineLvl w:val="1"/>
        <w:rPr>
          <w:rFonts w:eastAsia="Times New Roman" w:cs="" w:cstheme="majorBidi"/>
          <w:b/>
          <w:bCs/>
          <w:lang w:eastAsia="ru-RU"/>
        </w:rPr>
      </w:pPr>
      <w:r>
        <w:rPr>
          <w:rFonts w:eastAsia="Times New Roman" w:cs="" w:cstheme="majorBidi"/>
          <w:b/>
          <w:bCs/>
          <w:lang w:eastAsia="ru-RU"/>
        </w:rPr>
        <w:t>Серия ответов Аты ибн Халиля Абу ар-Рашты, амира Хизб ут-Тахрир, на вопросы посетителей его страницы в Facebook, раздел «Фикх»</w:t>
      </w:r>
    </w:p>
    <w:p>
      <w:pPr>
        <w:pStyle w:val="Normal"/>
        <w:numPr>
          <w:ilvl w:val="0"/>
          <w:numId w:val="0"/>
        </w:numPr>
        <w:suppressLineNumbers w:val="0"/>
        <w:suppressAutoHyphens w:val="false"/>
        <w:ind w:hanging="0" w:left="0"/>
        <w:jc w:val="center"/>
        <w:outlineLvl w:val="2"/>
        <w:rPr>
          <w:rFonts w:eastAsia="Times New Roman" w:cs="" w:cstheme="majorBidi"/>
          <w:b/>
          <w:bCs/>
          <w:lang w:eastAsia="ru-RU"/>
        </w:rPr>
      </w:pPr>
      <w:r>
        <w:rPr>
          <w:rFonts w:eastAsia="Times New Roman" w:cs="" w:cstheme="majorBidi"/>
          <w:b/>
          <w:bCs/>
          <w:lang w:eastAsia="ru-RU"/>
        </w:rPr>
        <w:t>Положения мукаллидов и их мураджихаты</w:t>
      </w:r>
    </w:p>
    <w:p>
      <w:pPr>
        <w:pStyle w:val="Normal"/>
        <w:suppressLineNumbers w:val="0"/>
        <w:suppressAutoHyphens w:val="false"/>
        <w:jc w:val="center"/>
        <w:rPr>
          <w:rFonts w:eastAsia="Times New Roman" w:cs="" w:cstheme="majorBidi"/>
          <w:i/>
          <w:iCs/>
          <w:lang w:eastAsia="ru-RU"/>
        </w:rPr>
      </w:pPr>
      <w:r>
        <w:rPr>
          <w:rFonts w:eastAsia="Times New Roman" w:cs="" w:cstheme="majorBidi"/>
          <w:i/>
          <w:iCs/>
          <w:lang w:eastAsia="ru-RU"/>
        </w:rPr>
        <w:t>Усаме Самману</w:t>
      </w:r>
    </w:p>
    <w:p>
      <w:pPr>
        <w:pStyle w:val="Normal"/>
        <w:numPr>
          <w:ilvl w:val="0"/>
          <w:numId w:val="0"/>
        </w:numPr>
        <w:suppressLineNumbers w:val="0"/>
        <w:suppressAutoHyphens w:val="false"/>
        <w:ind w:firstLine="567" w:left="0"/>
        <w:jc w:val="both"/>
        <w:outlineLvl w:val="2"/>
        <w:rPr>
          <w:rFonts w:eastAsia="Times New Roman" w:cs="" w:cstheme="majorBidi"/>
          <w:b/>
          <w:bCs/>
          <w:lang w:eastAsia="ru-RU"/>
        </w:rPr>
      </w:pPr>
      <w:r>
        <w:rPr>
          <w:rFonts w:eastAsia="Times New Roman" w:cs="" w:cstheme="majorBidi"/>
          <w:b/>
          <w:bCs/>
          <w:lang w:eastAsia="ru-RU"/>
        </w:rPr>
        <w:t>Вопрос:</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Ассаляму алейкум ва рахматуллахи ва баракятуху!</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Да благословит Вас Аллах, наш шейх, и воздаст Вам наилучшим воздаянием. Просим Аллаха поддержать Вас Своей помощью, ускорить установление Государства Халифат и записать Вам награду и даровать стойкость.</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У меня есть вопрос, на который я прошу Вас ответить, если это возможно. В книге «Исламская личность», том первый, в разделе «Сила доказательства» говорится: «Таковым является краткое изложение мураджихатов. Посредством этих мураджихатов становится возможным узнавать сильнейшее доказательство, чтобы затем, посредством этого доказательства, можно было предпочесть шариатский закон. Это может происходить в двух положениях: 1) может происходить с муттабием, в его рассмотрении двух до</w:t>
      </w:r>
      <w:r>
        <w:rPr>
          <w:rFonts w:eastAsia="Times New Roman" w:cs="" w:cstheme="majorBidi"/>
          <w:color w:val="auto"/>
          <w:kern w:val="0"/>
          <w:sz w:val="24"/>
          <w:szCs w:val="24"/>
          <w:vertAlign w:val="superscript"/>
          <w:lang w:val="ru-RU" w:eastAsia="ru-RU" w:bidi="ar-SA"/>
        </w:rPr>
        <w:t>казательств, без способности сделать вывод решения из-за того, что он не прилагает усилия для выявления доказательств; 2) мо</w:t>
      </w:r>
      <w:r>
        <w:rPr>
          <w:rFonts w:eastAsia="Times New Roman" w:cs="" w:cstheme="majorBidi"/>
          <w:lang w:eastAsia="ru-RU"/>
        </w:rPr>
        <w:t>жет происходить с муджтахидом, когда перед ним предстают два противоположных доказательства. В обоих этих положениях, когда имеются два доказательства, обязательным становится предпочесть одно из них. И если предпочтение отдано одному из них, то необходимо брать закон, доказательство которого является более сильным, и руководствоваться им, а также оставить закон, слабость доказательства которого стала очевидной».</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Также в ответе на вопрос под названием «Следование нескольким муджтахидам в одном вопросе» говорится: «Всё это относится к тому случаю, пока человек остаётся мукаллидом. Если же у него появилась способность рассматривать доказательства и отдавать предпочтение одному из них, то ему разрешается оставить муджтахида, которому он следовал, и последовать более сильному доказательству».</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Отличаются ли границы вопроса для мукаллида-аммия от границ вопроса для мукаллида-муттаби, следующего доказательству? И если границы вопроса для них одинаковы, то разрешается ли муттаби, обладающему возможностью делать тарджих между доказательствами на основании шариатских мураджихатов, отдавать предпочтение одним доказательствам и мнениям муджтахидов перед другими в отдельных частях одного вопроса, например в вопросе намаза? Или же тарджих производится только между отдельными вопросами, а не между частями одного вопроса?</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Да воздаст Вам Аллах благом, да благословит Вас, сопутствует Вам и направляет, поддержит Вас Своей помощью и поместит это на чашу Ваших благих деяний.</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Вассаляму алейкум ва рахматуллахи ва баракятуху.</w:t>
      </w:r>
    </w:p>
    <w:p>
      <w:pPr>
        <w:pStyle w:val="Normal"/>
        <w:numPr>
          <w:ilvl w:val="0"/>
          <w:numId w:val="0"/>
        </w:numPr>
        <w:suppressLineNumbers w:val="0"/>
        <w:suppressAutoHyphens w:val="false"/>
        <w:ind w:firstLine="567" w:left="0"/>
        <w:jc w:val="both"/>
        <w:outlineLvl w:val="2"/>
        <w:rPr>
          <w:rFonts w:eastAsia="Times New Roman" w:cs="" w:cstheme="majorBidi"/>
          <w:b/>
          <w:bCs/>
          <w:lang w:eastAsia="ru-RU"/>
        </w:rPr>
      </w:pPr>
      <w:r>
        <w:rPr>
          <w:rFonts w:eastAsia="Times New Roman" w:cs="" w:cstheme="majorBidi"/>
          <w:b/>
          <w:bCs/>
          <w:lang w:eastAsia="ru-RU"/>
        </w:rPr>
        <w:t>Ответ:</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Ва алейкум ассалям ва рахматуллахи ва баракятуху.</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Брат мой, с точки зрения познания шариатского закона мусульмане делятся на две категории: первая — муджтахид, вторая — мукаллид. Третьей категории нет. Ведь в действительности человек либо принимает то, к чему он сам пришёл посредством своего иджтихада, либо принимает то, к чему посредством иджтихада пришёл другой. И данный вопрос не выходит за рамки этих двух случаев. Поэтому каждый, кто не является муджтахидом, является мукаллидом, к какому бы виду он не относился. Суть таклида заключается в принятии хукма от другого.</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1. Что касается муджтахида, то это человек, обладающий способностью совершать иджтихад: у него имеются достаточные знания арабского языка, достаточные знания разделов Корана и Сунны, достаточное знание того, как рассматривать доказательства, когда они равноценны (таадуль), как согласовывать их (джамъ) и отдать одному из них предпочтение (тарджих), а следовательно, он обладает способностью выводить шариатские законы.</w:t>
      </w:r>
    </w:p>
    <w:p>
      <w:pPr>
        <w:pStyle w:val="Normal"/>
        <w:suppressLineNumbers w:val="0"/>
        <w:suppressAutoHyphens w:val="false"/>
        <w:ind w:firstLine="567"/>
        <w:jc w:val="both"/>
        <w:rPr>
          <w:rFonts w:eastAsia="Times New Roman" w:cs="" w:cstheme="majorBidi"/>
          <w:b/>
          <w:bCs/>
          <w:lang w:eastAsia="ru-RU"/>
        </w:rPr>
      </w:pPr>
      <w:r>
        <w:rPr>
          <w:rFonts w:eastAsia="Times New Roman" w:cs="" w:cstheme="majorBidi"/>
          <w:b/>
          <w:bCs/>
          <w:lang w:eastAsia="ru-RU"/>
        </w:rPr>
        <w:t xml:space="preserve">• </w:t>
      </w:r>
      <w:r>
        <w:rPr>
          <w:rFonts w:eastAsia="Times New Roman" w:cs="" w:cstheme="majorBidi"/>
          <w:b/>
          <w:bCs/>
          <w:lang w:eastAsia="ru-RU"/>
        </w:rPr>
        <w:t>Если он совершил иджтихад по какому-либо вопросу, то шариатский закон в отношении него состоит в том, чтобы следовать результату своего иджтихада. Он не переходит от этого мнения к другому иначе как при наличии мураджиха, которым для него является сила доказательства.</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2. Что касается человека, не являющегося муджтахидом, то он бывает двух видов: муттаби и аммий. Для каждого из них имеются свои условия перехода от одного мазхаба к другому. Однако во всех случаях такой переход не совершается из прихоти и желаний или потому, что другое мнение легче в практике. И для муттаби, и для аммия должен иметься шариатский мураджих:</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а) Муттаби — это человек, обладающий некоторыми знаниями, имеющими значение в шариатском законодательстве: соответствующее знание арабского языка, соответствующее понимание того, что означают категории хадисов мутаватир, сахих, хасан и даиф, а также знанием достоверных сборников хадисов.</w:t>
      </w:r>
    </w:p>
    <w:p>
      <w:pPr>
        <w:pStyle w:val="Normal"/>
        <w:suppressLineNumbers w:val="0"/>
        <w:suppressAutoHyphens w:val="false"/>
        <w:ind w:firstLine="567"/>
        <w:jc w:val="both"/>
        <w:rPr>
          <w:rFonts w:eastAsia="Times New Roman" w:cs="" w:cstheme="majorBidi"/>
          <w:b/>
          <w:bCs/>
          <w:lang w:eastAsia="ru-RU"/>
        </w:rPr>
      </w:pPr>
      <w:r>
        <w:rPr>
          <w:rFonts w:eastAsia="Times New Roman" w:cs="" w:cstheme="majorBidi"/>
          <w:b/>
          <w:bCs/>
          <w:lang w:eastAsia="ru-RU"/>
        </w:rPr>
        <w:t xml:space="preserve">• </w:t>
      </w:r>
      <w:r>
        <w:rPr>
          <w:rFonts w:eastAsia="Times New Roman" w:cs="" w:cstheme="majorBidi"/>
          <w:b/>
          <w:bCs/>
          <w:lang w:eastAsia="ru-RU"/>
        </w:rPr>
        <w:t>Иными словами, муттаби переходит от одного мнения к другому при наличии мураджиха. Мураджих для муттаби заключается в том, что он следует закону, доказательство которого ему известно, и оставляет тот, доказательство которого ему неизвестно.</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б) Аммий — это человек, который не обладает знаниями, имеющими значение в шариатском законодательстве, которыми обладает муттаби. Он поклоняется Аллаху так, как говорит ему шейх его мазхаба. Такой человек не переходит от своего мазхаба к другому в каком-либо вопросе иначе как при наличии мураджиха. Мураджихом для аммия является доверие к тому, кому он делает таклид, с точки зрения понимания, богобоязненности и достойного поведения. Поэтому он может делать таклид шейху мечети, своему отцу или человеку, который обучает людей в мечети чтению Корана. Находясь в таком положении, он не переходит от этого мазхаба к другому, кроме как при наличии упомянутого мураджиха: когда он знакомится с человеком, который обладает большими знаниями, чем упомянутые выше люди, и которому он больше доверяет в отношении богобоязненности и справедливости.</w:t>
      </w:r>
    </w:p>
    <w:p>
      <w:pPr>
        <w:pStyle w:val="Normal"/>
        <w:suppressLineNumbers w:val="0"/>
        <w:suppressAutoHyphens w:val="false"/>
        <w:ind w:firstLine="567"/>
        <w:jc w:val="both"/>
        <w:rPr>
          <w:rFonts w:eastAsia="Times New Roman" w:cs="" w:cstheme="majorBidi"/>
          <w:b/>
          <w:bCs/>
          <w:lang w:eastAsia="ru-RU"/>
        </w:rPr>
      </w:pPr>
      <w:r>
        <w:rPr>
          <w:rFonts w:eastAsia="Times New Roman" w:cs="" w:cstheme="majorBidi"/>
          <w:b/>
          <w:bCs/>
          <w:lang w:eastAsia="ru-RU"/>
        </w:rPr>
        <w:t xml:space="preserve">• </w:t>
      </w:r>
      <w:r>
        <w:rPr>
          <w:rFonts w:eastAsia="Times New Roman" w:cs="" w:cstheme="majorBidi"/>
          <w:b/>
          <w:bCs/>
          <w:lang w:eastAsia="ru-RU"/>
        </w:rPr>
        <w:t>То есть аммий переходит от одного мнения к другому при наличии мураджиха. Для аммия, таким мураджихом является знакомство с человеком в богобоязненности и справедливости которого он уверен, сильнее, и знаниям и пониманию которого доверяет больше. Если такой человек указывает ему на другой мазхаб и аммий обретает уверенность в этом, ему разрешается перейти к нему.</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 xml:space="preserve">Итак, муджтахид обладает способностью определить более сильное доказательство и выводить шариатские законы из своих подробных доводов в соответствии с их силой. </w:t>
      </w:r>
      <w:r>
        <w:rPr>
          <w:rFonts w:eastAsia="Times New Roman" w:cs="" w:cstheme="majorBidi"/>
          <w:b/>
          <w:bCs/>
          <w:lang w:eastAsia="ru-RU"/>
        </w:rPr>
        <w:t>Следовательно, мураджихом для него является сила доказательства.</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 xml:space="preserve">Муттаби же принимает закон на основании доказательства муджтахида, которому он делает таклид, однако сам он не способен совершать иджтихад и определять, какое из доказательств сильнее. </w:t>
      </w:r>
      <w:r>
        <w:rPr>
          <w:rFonts w:eastAsia="Times New Roman" w:cs="" w:cstheme="majorBidi"/>
          <w:b/>
          <w:bCs/>
          <w:lang w:eastAsia="ru-RU"/>
        </w:rPr>
        <w:t>Поэтому мураджихом для него является знание доказательства муджтахида.</w:t>
      </w:r>
      <w:r>
        <w:rPr>
          <w:rFonts w:eastAsia="Times New Roman" w:cs="" w:cstheme="majorBidi"/>
          <w:lang w:eastAsia="ru-RU"/>
        </w:rPr>
        <w:t xml:space="preserve"> Если он следовал одному муджтахиду, не имея полного знания его доказательств, а затем узнал доказательства другого муджтахида, то он следует второму муджтахиду.</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 xml:space="preserve">Что касается аммия, то он не способен познавать доказательство. Он делает таклид шейху, знаниям которого доверяет, либо имаму мечети, в которой молится, и тому подобное. </w:t>
      </w:r>
      <w:r>
        <w:rPr>
          <w:rFonts w:eastAsia="Times New Roman" w:cs="" w:cstheme="majorBidi"/>
          <w:b/>
          <w:bCs/>
          <w:lang w:eastAsia="ru-RU"/>
        </w:rPr>
        <w:t>Следовательно, мураджихом для него является доверие к своему шейху или имаму мечети.</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Поэтому приведённая тобой формулировка: «Разрешается ли муттаби, обладающему возможностью делать тарджих между доказательствами на основании шариатских мураджихатов, отдавать предпочтение одним доказательствам и мнениям муджтахидов перед другими» — некорректна. Муттаби не обладает способностью делать тарджих между доказательствами с целью вывести из них закон. В отношении муттаби действует лишь знание доказательства с точки зрения того, является оно сахих, хасан, даиф и т.д. Однако одного этого недостаточно для тарджиха между доказательствами и выведения закона. Для этого необходимо знать и другие вопросы, относящиеся к условиям иджтихада: хорошо владеть арабским языком, знать хасс и амм, мутлак и мукайяд и другие знания из науки усуль фикх. В определении муттаби говорится:</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b/>
          <w:bCs/>
          <w:lang w:eastAsia="ru-RU"/>
        </w:rPr>
        <w:t>1 — В книге «Исламская личность», том 1, в разделе «Положения мукаллидов и их мураджихаты» сказано:</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 xml:space="preserve">«Рассмотрение доказательства и выведение из него закона, осуществляется муджтахидом, поскольку осуществление этого зависит от знания о том, что нет другого противоречащего доказательства, принимая во внимание обязательность поиска такого доказательства, т.е. зависит от изучения доказательств, </w:t>
      </w:r>
      <w:r>
        <w:rPr>
          <w:rFonts w:eastAsia="Times New Roman" w:cs="" w:cstheme="majorBidi"/>
          <w:b/>
          <w:bCs/>
          <w:lang w:eastAsia="ru-RU"/>
        </w:rPr>
        <w:t>а на это способен только лишь муджтахид.</w:t>
      </w:r>
      <w:r>
        <w:rPr>
          <w:rFonts w:eastAsia="Times New Roman" w:cs="" w:cstheme="majorBidi"/>
          <w:lang w:eastAsia="ru-RU"/>
        </w:rPr>
        <w:t xml:space="preserve"> Таким образом, мукаллид не может быть муджтахидом. Люди, в отношении шариатского  закона представляются либо муджтахидами, либо мукаллидами. То есть либо человек сам вывел закон, несмотря на то, был ли выведен этот закон ранее другим человеком, или нет, либо он берет вывод другого человека… И аммий и муттаби считаются мукаллидами. </w:t>
      </w:r>
      <w:r>
        <w:rPr>
          <w:rFonts w:eastAsia="Times New Roman" w:cs="" w:cstheme="majorBidi"/>
          <w:b/>
          <w:bCs/>
          <w:lang w:eastAsia="ru-RU"/>
        </w:rPr>
        <w:t>При этом муттаби делает таклид с тем условием, что знает доказательство муджтахида, а аммий делает таклид без всяких условий</w:t>
      </w:r>
      <w:r>
        <w:rPr>
          <w:rFonts w:eastAsia="Times New Roman" w:cs="" w:cstheme="majorBidi"/>
          <w:lang w:eastAsia="ru-RU"/>
        </w:rPr>
        <w:t>».</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b/>
          <w:bCs/>
          <w:lang w:eastAsia="ru-RU"/>
        </w:rPr>
        <w:t>2 — В книге «Исламская личность», том 1, в главе «Таклид» сказано:</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«Следовательно, муттаби является мукаллидом. Также, следование означает, что ты следуешь мнению муджтахида на основании доказательства, ставшего для тебя очевидным, без обсуждения с твоей стороны этого доказательства, т.е. без того, что ты становишься обязывающимся этим доказательством. Но если ты, изучив доказательство, познал то, каким образом из него был выведен закон, и согласился с этим выводом и с самим законом, то данное доказательство, на котором зиждется закон, становится обязывающим для тебя, и твое мнение становится таким же, как и мнение муджтахида. В этом положении ты являешься муджтахидом, а не муттабием. Отсюда становится ясно, что следование — это таклид, и что муттаби является мукаллидом, даже если познал доказательство».</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Из этого ясно, что муттаби не обладает способностью делать тарджих между доказательствами и на этом основании выводить закон. Он лишь знает, какое доказательство является достоверным, а какое недостоверным. Что же касается согласования доказательств, тарджиха между ними и способности выводить закон, то этого у него нет. В противном случае он был бы муджтахидом.</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По всей видимости, затруднение у тебя возникло из-за сказанного в книге «Исламская личность» в главе «Сила доказательства»:</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«Таковым является краткое изложение мураджихатов. Посредством этих мураджихатов становится возможным узнавать сильнейшее доказательство, чтобы затем, посредством этого доказательства, можно было предпочесть шариатский закон. Это может происходить в двух положениях: 1) может происходить с муттабием, в его рассмотрении двух доказательств, без способности сделать вывод решения из-за того, что он не прилагает усилия для выявления доказательства; 2) может происходить с муджтахидом, когда перед ним предстают два противоположных доказательства. В обоих этих положениях, когда имеются два доказательства, обязательным становится предпочесть одно из них. И если предпочтение отдано одному из них, то необходимо брать закон, доказательство которого является более сильным, и руководствоваться им, а также оставить закон, слабость доказательства которого стала очевидной».</w:t>
      </w:r>
    </w:p>
    <w:p>
      <w:pPr>
        <w:pStyle w:val="Normal"/>
        <w:suppressLineNumbers w:val="0"/>
        <w:suppressAutoHyphens w:val="false"/>
        <w:ind w:firstLine="567"/>
        <w:jc w:val="both"/>
        <w:rPr>
          <w:rFonts w:eastAsia="Times New Roman" w:cs="" w:cstheme="majorBidi"/>
          <w:b/>
          <w:bCs/>
          <w:lang w:eastAsia="ru-RU"/>
        </w:rPr>
      </w:pPr>
      <w:r>
        <w:rPr>
          <w:rFonts w:eastAsia="Times New Roman" w:cs="" w:cstheme="majorBidi"/>
          <w:b/>
          <w:bCs/>
          <w:lang w:eastAsia="ru-RU"/>
        </w:rPr>
        <w:t>Вероятно, ты понял выражение «может происходить с муттабием, в его рассмотрении двух доказательств, без способности сделать вывод решения» как означающее способность совершать тарджих и иджтихад. Однако смысл здесь не таков. Под «рассмотрением» здесь подразумевается познание того, является доказательство сахих, хасан или даиф. Одного этого недостаточно для совершения тарджиха. Для тарджиха необходимо знать и другие вопросы: хасс и амм, мутлак и мукайяд, насих и мансух и т.д. Это ясно и из окончания самой фразы: «без способности сделать вывод решения».</w:t>
      </w:r>
    </w:p>
    <w:p>
      <w:pPr>
        <w:pStyle w:val="Normal"/>
        <w:suppressLineNumbers w:val="0"/>
        <w:suppressAutoHyphens w:val="false"/>
        <w:ind w:firstLine="567"/>
        <w:jc w:val="both"/>
        <w:rPr>
          <w:rFonts w:eastAsia="Times New Roman" w:cs="" w:cstheme="majorBidi"/>
          <w:b/>
          <w:bCs/>
          <w:lang w:eastAsia="ru-RU"/>
        </w:rPr>
      </w:pPr>
      <w:r>
        <w:rPr>
          <w:rFonts w:eastAsia="Times New Roman" w:cs="" w:cstheme="majorBidi"/>
          <w:b/>
          <w:bCs/>
          <w:lang w:eastAsia="ru-RU"/>
        </w:rPr>
        <w:t>Следовательно, муттаби не способен делать тарджих между доказательствами и выводить из них шариатский закон. Если бы он был способен на это, то являлся бы муджтахидом.</w:t>
      </w:r>
    </w:p>
    <w:p>
      <w:pPr>
        <w:pStyle w:val="Normal"/>
        <w:suppressLineNumbers w:val="0"/>
        <w:suppressAutoHyphens w:val="false"/>
        <w:ind w:firstLine="567"/>
        <w:jc w:val="both"/>
        <w:rPr>
          <w:rFonts w:eastAsia="Times New Roman" w:cs="" w:cstheme="majorBidi"/>
          <w:b/>
          <w:bCs/>
          <w:u w:val="single"/>
          <w:lang w:eastAsia="ru-RU"/>
        </w:rPr>
      </w:pPr>
      <w:r>
        <w:rPr>
          <w:rFonts w:eastAsia="Times New Roman" w:cs="" w:cstheme="majorBidi"/>
          <w:b/>
          <w:bCs/>
          <w:u w:val="single"/>
          <w:lang w:eastAsia="ru-RU"/>
        </w:rPr>
        <w:t>Таков ответ относительно неточности содержащегося в твоём вопросе утверждения о том, что муттаби способен делать тарджих между доказательствами и выводить закон.</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Что же касается второй части твоего вопроса:</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«Разрешается ли муттаби, обладающему возможностью делать тарджих между доказательствами на основании шариатских мураджихатов, отдавать предпочтение одним доказательствам и мнениям муджтахидов перед другими в отдельных частях одного вопроса, например в вопросе намаза? Или же тарджих производится только между отдельными вопросами, а не между частями одного вопроса?» — то эта формулировка также неточна по двум причинам.</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Первая: муттаби не является муджтахидом, то есть он не обладает способностью делать тарджих между доказательствами и выводить из них шариатский закон.</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Вторая: рассматриваемая тема (масаля) представляет собой единое целое и не разделяется. Её столпы, условия, действительность и недействительность неотделимы от самой темы. Шариатский закон должен охватывать её целиком. Поэтому нельзя в отношении столпов молитвы делать таклид мазхабу Шафии, а в отношении условий её действительности — имаму Малику. К вопросу следует относиться как к единому целому.</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Мы достаточно подробно разъяснили этот вопрос в книге «Облегчение в достижении усуль» в главе «Таклид»:</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b/>
          <w:bCs/>
          <w:lang w:eastAsia="ru-RU"/>
        </w:rPr>
        <w:t>«Определение масаля:</w:t>
      </w:r>
      <w:r>
        <w:rPr>
          <w:rFonts w:eastAsia="Times New Roman" w:cs="" w:cstheme="majorBidi"/>
          <w:lang w:eastAsia="ru-RU"/>
        </w:rPr>
        <w:t xml:space="preserve"> под масаля здесь подразумевается каждое действие или совокупность действий, от которых не зависит действительность другого действия.</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Частью масаля является каждое действие, без которого невозможно обеспечить её действительность, например, условия и столпы.</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b/>
          <w:bCs/>
          <w:lang w:eastAsia="ru-RU"/>
        </w:rPr>
        <w:t>Примеры:</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b/>
          <w:bCs/>
          <w:lang w:eastAsia="ru-RU"/>
        </w:rPr>
        <w:t>Омовение:</w:t>
      </w:r>
      <w:r>
        <w:rPr>
          <w:rFonts w:eastAsia="Times New Roman" w:cs="" w:cstheme="majorBidi"/>
          <w:lang w:eastAsia="ru-RU"/>
        </w:rPr>
        <w:t xml:space="preserve"> это действия, от которых зависит действительность другого действия, поскольку действительность намаза зависит от омовения. В соответствии с данным определением омовение не является отдельной масаля, а считается частью намаза, без которой невозможно обеспечить её действительность.</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b/>
          <w:bCs/>
          <w:lang w:eastAsia="ru-RU"/>
        </w:rPr>
        <w:t>Намаз:</w:t>
      </w:r>
      <w:r>
        <w:rPr>
          <w:rFonts w:eastAsia="Times New Roman" w:cs="" w:cstheme="majorBidi"/>
          <w:lang w:eastAsia="ru-RU"/>
        </w:rPr>
        <w:t xml:space="preserve"> это действия, от которых не зависит действительность другого действия. Следовательно, намаз является масаля. Частью молитвы считается всё то, без чего невозможно обеспечить его действительность, например, столпы и условия действительности, такие как очищение и обращение в сторону кыблы.</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b/>
          <w:bCs/>
          <w:lang w:eastAsia="ru-RU"/>
        </w:rPr>
        <w:t>Намерение при посте:</w:t>
      </w:r>
      <w:r>
        <w:rPr>
          <w:rFonts w:eastAsia="Times New Roman" w:cs="" w:cstheme="majorBidi"/>
          <w:lang w:eastAsia="ru-RU"/>
        </w:rPr>
        <w:t xml:space="preserve"> это действие, от которого зависит действительность другого действия, поскольку действительность поста зависит от намерения. Поэтому намерение не является самостоятельной масаля, а является частью другой масаля.</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b/>
          <w:bCs/>
          <w:lang w:eastAsia="ru-RU"/>
        </w:rPr>
        <w:t>Пост:</w:t>
      </w:r>
      <w:r>
        <w:rPr>
          <w:rFonts w:eastAsia="Times New Roman" w:cs="" w:cstheme="majorBidi"/>
          <w:lang w:eastAsia="ru-RU"/>
        </w:rPr>
        <w:t xml:space="preserve"> это действие, от которого не зависит действительность другого действия. Следовательно, пост является масаля. Частью поста является всё то, без чего невозможно обеспечить его действительность, например, намерение и воздержание от нарушающих пост действий. </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Следовательно, если человек делает таклид какому-либо муджтахиду в вопросе намаза, он должен делать следовать ему во всех её частях: в малом омовении, полном омовении от джанабы, таяммуме, обращении в сторону кыблы и столпах намаза. Если же он делает таклид муджтахиду в вопросе поста, он должен следовать ему во всех его частях: в вопросе намерения, в том, обязательно ли намереваться ночью на каждый отдельный день или достаточно намерения на весь месяц, действительно ли намерение, сделанное днём, или оно обязательно должно быть сделано ночью, а также в вопросах действий, нарушающих пост, и дозволенности прервать пост. Однако, ему разрешается делать таклид другому муджтахиду в другом</w:t>
      </w:r>
      <w:bookmarkStart w:id="0" w:name="_GoBack"/>
      <w:bookmarkEnd w:id="0"/>
      <w:r>
        <w:rPr>
          <w:rFonts w:eastAsia="Times New Roman" w:cs="" w:cstheme="majorBidi"/>
          <w:lang w:eastAsia="ru-RU"/>
        </w:rPr>
        <w:t xml:space="preserve"> масаля».</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t>В завершение передаю тебе ас-салям и надеюсь, что этого разъяснения будет достаточно. Аллах знает лучше и Он Мудрейший.</w:t>
      </w:r>
    </w:p>
    <w:p>
      <w:pPr>
        <w:pStyle w:val="Normal"/>
        <w:suppressLineNumbers w:val="0"/>
        <w:suppressAutoHyphens w:val="false"/>
        <w:ind w:firstLine="567"/>
        <w:jc w:val="both"/>
        <w:rPr>
          <w:rFonts w:eastAsia="Times New Roman" w:cs="" w:cstheme="majorBidi"/>
          <w:lang w:eastAsia="ru-RU"/>
        </w:rPr>
      </w:pPr>
      <w:r>
        <w:rPr>
          <w:rFonts w:eastAsia="Times New Roman" w:cs="" w:cstheme="majorBidi"/>
          <w:lang w:eastAsia="ru-RU"/>
        </w:rPr>
      </w:r>
    </w:p>
    <w:p>
      <w:pPr>
        <w:pStyle w:val="Normal"/>
        <w:suppressLineNumbers w:val="0"/>
        <w:suppressAutoHyphens w:val="false"/>
        <w:ind w:firstLine="567"/>
        <w:jc w:val="both"/>
        <w:rPr>
          <w:rFonts w:eastAsia="Times New Roman" w:cs="" w:cstheme="majorBidi"/>
          <w:lang w:eastAsia="ru-RU"/>
        </w:rPr>
      </w:pPr>
      <w:r>
        <w:rPr>
          <w:rFonts w:eastAsia="Times New Roman" w:cs="" w:cstheme="majorBidi"/>
          <w:b/>
          <w:bCs/>
          <w:lang w:eastAsia="ru-RU"/>
        </w:rPr>
        <w:t>Ата ибн Халиль Абу ар-Рашта</w:t>
      </w:r>
    </w:p>
    <w:p>
      <w:pPr>
        <w:pStyle w:val="Normal"/>
        <w:suppressLineNumbers w:val="0"/>
        <w:suppressAutoHyphens w:val="false"/>
        <w:ind w:firstLine="567"/>
        <w:jc w:val="both"/>
        <w:rPr>
          <w:rFonts w:eastAsia="Times New Roman" w:cs="" w:cstheme="majorBidi"/>
          <w:b/>
          <w:bCs/>
          <w:lang w:eastAsia="ru-RU"/>
        </w:rPr>
      </w:pPr>
      <w:r>
        <w:rPr>
          <w:rFonts w:eastAsia="Times New Roman" w:cs="" w:cstheme="majorBidi"/>
          <w:b/>
          <w:bCs/>
          <w:lang w:eastAsia="ru-RU"/>
        </w:rPr>
        <w:t>3 Джумада аль-уля 1448 г.х.</w:t>
      </w:r>
    </w:p>
    <w:p>
      <w:pPr>
        <w:pStyle w:val="Normal"/>
        <w:suppressLineNumbers w:val="0"/>
        <w:suppressAutoHyphens w:val="false"/>
        <w:ind w:firstLine="567"/>
        <w:jc w:val="both"/>
        <w:rPr>
          <w:rFonts w:eastAsia="Times New Roman" w:cs="" w:cstheme="majorBidi"/>
          <w:lang w:val="en-US" w:eastAsia="ru-RU"/>
        </w:rPr>
      </w:pPr>
      <w:r>
        <w:rPr>
          <w:rFonts w:eastAsia="Times New Roman" w:cs="" w:cstheme="majorBidi"/>
          <w:b/>
          <w:bCs/>
          <w:lang w:eastAsia="ru-RU"/>
        </w:rPr>
        <w:t>14.10.2026 г.</w:t>
      </w:r>
    </w:p>
    <w:p>
      <w:pPr>
        <w:pStyle w:val="Normal"/>
        <w:spacing w:before="0" w:after="120"/>
        <w:ind w:firstLine="567"/>
        <w:jc w:val="both"/>
        <w:rPr>
          <w:rFonts w:cs="" w:cstheme="majorBidi"/>
        </w:rPr>
      </w:pPr>
      <w:r>
        <w:rPr>
          <w:rFonts w:cs="" w:cstheme="majorBidi"/>
        </w:rPr>
      </w:r>
    </w:p>
    <w:sectPr>
      <w:type w:val="nextPage"/>
      <w:pgSz w:w="11906" w:h="16838"/>
      <w:pgMar w:left="1134" w:right="1133"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Liberation Sans">
    <w:altName w:val="Arial"/>
    <w:charset w:val="01"/>
    <w:family w:val="roman"/>
    <w:pitch w:val="variable"/>
  </w:font>
</w:fonts>
</file>

<file path=word/settings.xml><?xml version="1.0" encoding="utf-8"?>
<w:settings xmlns:w="http://schemas.openxmlformats.org/wordprocessingml/2006/main">
  <w:zoom w:percent="20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a621e"/>
    <w:pPr>
      <w:widowControl/>
      <w:suppressLineNumbers/>
      <w:suppressAutoHyphens w:val="true"/>
      <w:bidi w:val="0"/>
      <w:spacing w:lineRule="auto" w:line="360" w:before="0" w:after="120"/>
      <w:jc w:val="left"/>
    </w:pPr>
    <w:rPr>
      <w:rFonts w:eastAsia="Calibri" w:cs="Arial" w:asciiTheme="majorBidi" w:hAnsiTheme="majorBidi"/>
      <w:color w:val="auto"/>
      <w:kern w:val="0"/>
      <w:sz w:val="24"/>
      <w:szCs w:val="24"/>
      <w:vertAlign w:val="superscript"/>
      <w:lang w:val="ru-RU" w:eastAsia="en-US" w:bidi="ar-SA"/>
    </w:rPr>
  </w:style>
  <w:style w:type="paragraph" w:styleId="Heading2">
    <w:name w:val="heading 2"/>
    <w:basedOn w:val="Normal"/>
    <w:link w:val="2"/>
    <w:uiPriority w:val="9"/>
    <w:qFormat/>
    <w:rsid w:val="00c07b21"/>
    <w:pPr>
      <w:suppressLineNumbers w:val="0"/>
      <w:suppressAutoHyphens w:val="false"/>
      <w:spacing w:lineRule="auto" w:line="240" w:beforeAutospacing="1" w:afterAutospacing="1"/>
      <w:outlineLvl w:val="1"/>
    </w:pPr>
    <w:rPr>
      <w:rFonts w:ascii="Times New Roman" w:hAnsi="Times New Roman" w:eastAsia="Times New Roman" w:cs="Times New Roman"/>
      <w:b/>
      <w:bCs/>
      <w:sz w:val="36"/>
      <w:szCs w:val="36"/>
      <w:lang w:eastAsia="ru-RU"/>
    </w:rPr>
  </w:style>
  <w:style w:type="paragraph" w:styleId="Heading3">
    <w:name w:val="heading 3"/>
    <w:basedOn w:val="Normal"/>
    <w:link w:val="3"/>
    <w:uiPriority w:val="9"/>
    <w:qFormat/>
    <w:rsid w:val="00c07b21"/>
    <w:pPr>
      <w:suppressLineNumbers w:val="0"/>
      <w:suppressAutoHyphens w:val="false"/>
      <w:spacing w:lineRule="auto" w:line="240" w:beforeAutospacing="1" w:afterAutospacing="1"/>
      <w:outlineLvl w:val="2"/>
    </w:pPr>
    <w:rPr>
      <w:rFonts w:ascii="Times New Roman" w:hAnsi="Times New Roman" w:eastAsia="Times New Roman" w:cs="Times New Roman"/>
      <w:b/>
      <w:bCs/>
      <w:sz w:val="27"/>
      <w:szCs w:val="27"/>
      <w:lang w:eastAsia="ru-RU"/>
    </w:rPr>
  </w:style>
  <w:style w:type="character" w:styleId="DefaultParagraphFont" w:default="1">
    <w:name w:val="Default Paragraph Font"/>
    <w:uiPriority w:val="1"/>
    <w:semiHidden/>
    <w:unhideWhenUsed/>
    <w:qFormat/>
    <w:rPr/>
  </w:style>
  <w:style w:type="character" w:styleId="2" w:customStyle="1">
    <w:name w:val="Заголовок 2 Знак"/>
    <w:basedOn w:val="DefaultParagraphFont"/>
    <w:uiPriority w:val="9"/>
    <w:qFormat/>
    <w:rsid w:val="00c07b21"/>
    <w:rPr>
      <w:rFonts w:ascii="Times New Roman" w:hAnsi="Times New Roman" w:eastAsia="Times New Roman" w:cs="Times New Roman"/>
      <w:b/>
      <w:bCs/>
      <w:sz w:val="36"/>
      <w:szCs w:val="36"/>
      <w:lang w:eastAsia="ru-RU"/>
    </w:rPr>
  </w:style>
  <w:style w:type="character" w:styleId="3" w:customStyle="1">
    <w:name w:val="Заголовок 3 Знак"/>
    <w:basedOn w:val="DefaultParagraphFont"/>
    <w:uiPriority w:val="9"/>
    <w:qFormat/>
    <w:rsid w:val="00c07b21"/>
    <w:rPr>
      <w:rFonts w:ascii="Times New Roman" w:hAnsi="Times New Roman" w:eastAsia="Times New Roman" w:cs="Times New Roman"/>
      <w:b/>
      <w:bCs/>
      <w:sz w:val="27"/>
      <w:szCs w:val="27"/>
      <w:lang w:eastAsia="ru-RU"/>
    </w:rPr>
  </w:style>
  <w:style w:type="character" w:styleId="Strong">
    <w:name w:val="Strong"/>
    <w:basedOn w:val="DefaultParagraphFont"/>
    <w:uiPriority w:val="22"/>
    <w:qFormat/>
    <w:rsid w:val="00c07b21"/>
    <w:rPr>
      <w:b/>
      <w:bCs/>
    </w:rPr>
  </w:style>
  <w:style w:type="character" w:styleId="Hyperlink">
    <w:name w:val="Hyperlink"/>
    <w:basedOn w:val="DefaultParagraphFont"/>
    <w:uiPriority w:val="99"/>
    <w:semiHidden/>
    <w:unhideWhenUsed/>
    <w:rsid w:val="00c07b21"/>
    <w:rPr>
      <w:color w:val="0000FF"/>
      <w:u w:val="single"/>
    </w:rPr>
  </w:style>
  <w:style w:type="paragraph" w:styleId="Style12">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3">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 w:type="paragraph" w:styleId="NormalWeb">
    <w:name w:val="Normal (Web)"/>
    <w:basedOn w:val="Normal"/>
    <w:uiPriority w:val="99"/>
    <w:semiHidden/>
    <w:unhideWhenUsed/>
    <w:qFormat/>
    <w:rsid w:val="00c07b21"/>
    <w:pPr>
      <w:suppressLineNumbers w:val="0"/>
      <w:suppressAutoHyphens w:val="false"/>
      <w:spacing w:lineRule="auto" w:line="240" w:beforeAutospacing="1" w:afterAutospacing="1"/>
    </w:pPr>
    <w:rPr>
      <w:rFonts w:ascii="Times New Roman" w:hAnsi="Times New Roman" w:eastAsia="Times New Roman" w:cs="Times New Roman"/>
      <w:lang w:eastAsia="ru-RU"/>
    </w:rPr>
  </w:style>
  <w:style w:type="numbering" w:styleId="user2"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1926</TotalTime>
  <Application>LibreOffice/26.2.4.2$Linux_X86_64 LibreOffice_project/0229ac93fcf0d7cbc6376066c6f35021cef002dc</Application>
  <AppVersion>15.0000</AppVersion>
  <Pages>6</Pages>
  <Words>2034</Words>
  <Characters>12917</Characters>
  <CharactersWithSpaces>14911</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2026-10-17T11:00:00Z</dcterms:created>
  <dc:creator>bagu bag</dc:creator>
  <dc:description/>
  <dc:language>ru-RU</dc:language>
  <cp:lastModifiedBy/>
  <dcterms:modified xsi:type="dcterms:W3CDTF">2026-10-25T08:17:14Z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